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先导智能（300450）2026年一季度业绩交流会 260428_导读</w:t>
      </w:r>
    </w:p>
    <w:p>
      <w:pPr>
        <w:pStyle w:val="a0"/>
        <w:jc w:val="center"/>
      </w:pPr>
      <w:r>
        <w:t>2026年04月28日 22:43</w:t>
      </w:r>
    </w:p>
    <w:p>
      <w:pPr>
        <w:pStyle w:val="a7"/>
      </w:pPr>
      <w:r>
        <w:t>关键词</w:t>
      </w:r>
    </w:p>
    <w:p>
      <w:r>
        <w:rPr>
          <w:rFonts w:ascii="等线(中文正文)" w:hAnsi="等线(中文正文)" w:cs="等线(中文正文)" w:eastAsia="等线(中文正文)"/>
          <w:b w:val="false"/>
          <w:i w:val="false"/>
          <w:sz w:val="20"/>
        </w:rPr>
        <w:t xml:space="preserve">订单 业绩 净利润 毛利率 锂电 回款 财务费用 汇兑损失 储能 固态电池 钠电 光伏 氢能 消费电子 海外 交付 降本增效 验收 营收 减值冲回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先导智能公司领导详细介绍了2026年一季度的业绩表现，涵盖了订单情况、财务报告、毛利率、期间费用率等关键指标，并针对投资者关注的问题进行了回答。公司强调了在锂电领域的业务持续增长趋势，并表达了对未来发展的乐观预期。同时，公司提醒投资者需关注市场风险，强调将通过提升净利润率、优化财务结构及加速海外市场布局等措施，以应对行业变化。</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先导智能2026年一季度业绩交流会：订单持续增长，固态电池订单加速</w:t>
      </w:r>
    </w:p>
    <w:p>
      <w:r>
        <w:rPr>
          <w:rFonts w:ascii="等线(中文正文)" w:hAnsi="等线(中文正文)" w:cs="等线(中文正文)" w:eastAsia="等线(中文正文)"/>
          <w:b w:val="false"/>
          <w:i w:val="false"/>
          <w:sz w:val="20"/>
        </w:rPr>
        <w:t>在2026年一季度业绩交流会上，先导智能透露订单持续加速，一季度新签订单96亿，同比增超60%，其中国内锂电订单占比近60%，海外锂电占比20%。非锂电领域，消费电子占比15%，光伏、氢能等占不到10%。储能和钠电储能订单持续增长，固态电池订单量环比提升，预计2026年将加速。财报显示，财务数据反映一年半前的订单情况。</w:t>
      </w:r>
    </w:p>
    <w:p>
      <w:r>
        <w:rPr>
          <w:rFonts w:ascii="等线(中文正文)" w:hAnsi="等线(中文正文)" w:cs="等线(中文正文)" w:eastAsia="等线(中文正文)"/>
          <w:b w:val="false"/>
          <w:i w:val="false"/>
          <w:sz w:val="20"/>
        </w:rPr>
        <w:t/>
      </w:r>
    </w:p>
    <w:p>
      <w:pPr>
        <w:pStyle w:val="ab"/>
        <w:numPr>
          <w:numId w:val="2"/>
        </w:numPr>
      </w:pPr>
      <w:r>
        <w:t>03:12 公司一季度财务表现亮眼，净利润率提升</w:t>
      </w:r>
    </w:p>
    <w:p>
      <w:r>
        <w:rPr>
          <w:rFonts w:ascii="等线(中文正文)" w:hAnsi="等线(中文正文)" w:cs="等线(中文正文)" w:eastAsia="等线(中文正文)"/>
          <w:b w:val="false"/>
          <w:i w:val="false"/>
          <w:sz w:val="20"/>
        </w:rPr>
        <w:t>一季度公司收入达36.91亿元，同比增长19.1%，归母净利润4.05亿元，同比增长11%，环比增长7.4%。毛利率33.61%，期间费用率下降2.45个百分点。经营净现金流正向增长44.38%，达12.48亿元。净利润率从9.43%提升至11%，预计业绩将持续改善。</w:t>
      </w:r>
    </w:p>
    <w:p>
      <w:r>
        <w:rPr>
          <w:rFonts w:ascii="等线(中文正文)" w:hAnsi="等线(中文正文)" w:cs="等线(中文正文)" w:eastAsia="等线(中文正文)"/>
          <w:b w:val="false"/>
          <w:i w:val="false"/>
          <w:sz w:val="20"/>
        </w:rPr>
        <w:t/>
      </w:r>
    </w:p>
    <w:p>
      <w:pPr>
        <w:pStyle w:val="ab"/>
        <w:numPr>
          <w:numId w:val="3"/>
        </w:numPr>
      </w:pPr>
      <w:r>
        <w:t>06:41 财务费用与汇兑损失对利润影响的解析</w:t>
      </w:r>
    </w:p>
    <w:p>
      <w:r>
        <w:rPr>
          <w:rFonts w:ascii="等线(中文正文)" w:hAnsi="等线(中文正文)" w:cs="等线(中文正文)" w:eastAsia="等线(中文正文)"/>
          <w:b w:val="false"/>
          <w:i w:val="false"/>
          <w:sz w:val="20"/>
        </w:rPr>
        <w:t>对话中详细解释了一季度财务费用为8578万，其中汇兑损失占比8280万，主要由于港股上市结汇影响。若排除汇兑损失，利润可能实现30%以上同比增长。</w:t>
      </w:r>
    </w:p>
    <w:p>
      <w:r>
        <w:rPr>
          <w:rFonts w:ascii="等线(中文正文)" w:hAnsi="等线(中文正文)" w:cs="等线(中文正文)" w:eastAsia="等线(中文正文)"/>
          <w:b w:val="false"/>
          <w:i w:val="false"/>
          <w:sz w:val="20"/>
        </w:rPr>
        <w:t/>
      </w:r>
    </w:p>
    <w:p>
      <w:pPr>
        <w:pStyle w:val="ab"/>
        <w:numPr>
          <w:numId w:val="4"/>
        </w:numPr>
      </w:pPr>
      <w:r>
        <w:t>08:57 一季度营收增速略低，行业验收趋势分析</w:t>
      </w:r>
    </w:p>
    <w:p>
      <w:r>
        <w:rPr>
          <w:rFonts w:ascii="等线(中文正文)" w:hAnsi="等线(中文正文)" w:cs="等线(中文正文)" w:eastAsia="等线(中文正文)"/>
          <w:b w:val="false"/>
          <w:i w:val="false"/>
          <w:sz w:val="20"/>
        </w:rPr>
        <w:t>对话讨论了一季度营收增速略低于预期的原因，指出当前验收情况反映了25年订单反馈，行业订单低点在24年三季度，预计二季度后验收将逐渐加快，整体趋势向上。</w:t>
      </w:r>
    </w:p>
    <w:p>
      <w:r>
        <w:rPr>
          <w:rFonts w:ascii="等线(中文正文)" w:hAnsi="等线(中文正文)" w:cs="等线(中文正文)" w:eastAsia="等线(中文正文)"/>
          <w:b w:val="false"/>
          <w:i w:val="false"/>
          <w:sz w:val="20"/>
        </w:rPr>
        <w:t/>
      </w:r>
    </w:p>
    <w:p>
      <w:pPr>
        <w:pStyle w:val="ab"/>
        <w:numPr>
          <w:numId w:val="5"/>
        </w:numPr>
      </w:pPr>
      <w:r>
        <w:t>10:33 公司净利率提升展望与高毛利率订单兑现</w:t>
      </w:r>
    </w:p>
    <w:p>
      <w:r>
        <w:rPr>
          <w:rFonts w:ascii="等线(中文正文)" w:hAnsi="等线(中文正文)" w:cs="等线(中文正文)" w:eastAsia="等线(中文正文)"/>
          <w:b w:val="false"/>
          <w:i w:val="false"/>
          <w:sz w:val="20"/>
        </w:rPr>
        <w:t>对话讨论了公司毛利率的稳定增长趋势，以及未来净利率的提升预期。随着锂电业务提升和海外业务贡献，毛利率将持续上升。公司预计通过降本增效，净利润率将逐季提升，目标恢复至16-17%水平，并有望在25年突破更高水平。高毛利率订单的兑现将是关键驱动因素。</w:t>
      </w:r>
    </w:p>
    <w:p>
      <w:r>
        <w:rPr>
          <w:rFonts w:ascii="等线(中文正文)" w:hAnsi="等线(中文正文)" w:cs="等线(中文正文)" w:eastAsia="等线(中文正文)"/>
          <w:b w:val="false"/>
          <w:i w:val="false"/>
          <w:sz w:val="20"/>
        </w:rPr>
        <w:t/>
      </w:r>
    </w:p>
    <w:p>
      <w:pPr>
        <w:pStyle w:val="ab"/>
        <w:numPr>
          <w:numId w:val="6"/>
        </w:numPr>
      </w:pPr>
      <w:r>
        <w:t>12:40 锂电设备毛利率提升与财务表现分析</w:t>
      </w:r>
    </w:p>
    <w:p>
      <w:r>
        <w:rPr>
          <w:rFonts w:ascii="等线(中文正文)" w:hAnsi="等线(中文正文)" w:cs="等线(中文正文)" w:eastAsia="等线(中文正文)"/>
          <w:b w:val="false"/>
          <w:i w:val="false"/>
          <w:sz w:val="20"/>
        </w:rPr>
        <w:t>对话讨论了锂电设备订单的毛利率变化，指出一季度毛利率较四季度有所提升，主要得益于光伏订单减少及海外锂电业务毛利率增加。同时，提及资产减值和汇兑损益对净利润的影响，以及随着收入体量增长，净利率有望进一步提升。</w:t>
      </w:r>
    </w:p>
    <w:p>
      <w:r>
        <w:rPr>
          <w:rFonts w:ascii="等线(中文正文)" w:hAnsi="等线(中文正文)" w:cs="等线(中文正文)" w:eastAsia="等线(中文正文)"/>
          <w:b w:val="false"/>
          <w:i w:val="false"/>
          <w:sz w:val="20"/>
        </w:rPr>
        <w:t/>
      </w:r>
    </w:p>
    <w:p>
      <w:pPr>
        <w:pStyle w:val="ab"/>
        <w:numPr>
          <w:numId w:val="7"/>
        </w:numPr>
      </w:pPr>
      <w:r>
        <w:t>15:25 财务费用变化与新业务进展分析</w:t>
      </w:r>
    </w:p>
    <w:p>
      <w:r>
        <w:rPr>
          <w:rFonts w:ascii="等线(中文正文)" w:hAnsi="等线(中文正文)" w:cs="等线(中文正文)" w:eastAsia="等线(中文正文)"/>
          <w:b w:val="false"/>
          <w:i w:val="false"/>
          <w:sz w:val="20"/>
        </w:rPr>
        <w:t>财务费用去年主要为利息支出，今年一季度则因汇率损失。新业务进展方面，钠电和固态电池领域积极储备，钠电设备毛利率更高，固态电池市场加速，头部企业规划明确，全固态设备整线公司受益显著。</w:t>
      </w:r>
    </w:p>
    <w:p>
      <w:r>
        <w:rPr>
          <w:rFonts w:ascii="等线(中文正文)" w:hAnsi="等线(中文正文)" w:cs="等线(中文正文)" w:eastAsia="等线(中文正文)"/>
          <w:b w:val="false"/>
          <w:i w:val="false"/>
          <w:sz w:val="20"/>
        </w:rPr>
        <w:t/>
      </w:r>
    </w:p>
    <w:p>
      <w:pPr>
        <w:pStyle w:val="ab"/>
        <w:numPr>
          <w:numId w:val="8"/>
        </w:numPr>
      </w:pPr>
      <w:r>
        <w:t>18:38 钠电与固态电池行业趋势及市场预测</w:t>
      </w:r>
    </w:p>
    <w:p>
      <w:r>
        <w:rPr>
          <w:rFonts w:ascii="等线(中文正文)" w:hAnsi="等线(中文正文)" w:cs="等线(中文正文)" w:eastAsia="等线(中文正文)"/>
          <w:b w:val="false"/>
          <w:i w:val="false"/>
          <w:sz w:val="20"/>
        </w:rPr>
        <w:t>讨论了钠电工艺与设备变化、成本优势及行业投资规模，指出钠电需适应新设备导致技术溢价；提及固态电池行业增长超90%，公司市占率提升，预计增速高于行业；强调市场由客户驱动，新赛道尚无行业标准产能数据，产能扩张随客户需求。</w:t>
      </w:r>
    </w:p>
    <w:p>
      <w:r>
        <w:rPr>
          <w:rFonts w:ascii="等线(中文正文)" w:hAnsi="等线(中文正文)" w:cs="等线(中文正文)" w:eastAsia="等线(中文正文)"/>
          <w:b w:val="false"/>
          <w:i w:val="false"/>
          <w:sz w:val="20"/>
        </w:rPr>
        <w:t/>
      </w:r>
    </w:p>
    <w:p>
      <w:pPr>
        <w:pStyle w:val="ab"/>
        <w:numPr>
          <w:numId w:val="9"/>
        </w:numPr>
      </w:pPr>
      <w:r>
        <w:t>21:12 化成分容设备技术升级与市场前景探讨</w:t>
      </w:r>
    </w:p>
    <w:p>
      <w:r>
        <w:rPr>
          <w:rFonts w:ascii="等线(中文正文)" w:hAnsi="等线(中文正文)" w:cs="等线(中文正文)" w:eastAsia="等线(中文正文)"/>
          <w:b w:val="false"/>
          <w:i w:val="false"/>
          <w:sz w:val="20"/>
        </w:rPr>
        <w:t>对话围绕化成分容设备的技术升级和市场前景展开。参与者提到设备价值量可能提升，公司凭借先发优势在国内外客户中保持良好合作，尤其在法国客户如TRN、TIAMT方面有持续订单。价格水平预计与当前接近，但技术升级将带来更高的毛利。公司计划利用先发优势把握国内外新突破和扩产需求。</w:t>
      </w:r>
    </w:p>
    <w:p>
      <w:r>
        <w:rPr>
          <w:rFonts w:ascii="等线(中文正文)" w:hAnsi="等线(中文正文)" w:cs="等线(中文正文)" w:eastAsia="等线(中文正文)"/>
          <w:b w:val="false"/>
          <w:i w:val="false"/>
          <w:sz w:val="20"/>
        </w:rPr>
        <w:t/>
      </w:r>
    </w:p>
    <w:p>
      <w:pPr>
        <w:pStyle w:val="ab"/>
        <w:numPr>
          <w:numId w:val="10"/>
        </w:numPr>
      </w:pPr>
      <w:r>
        <w:t>23:59 储能与动力订单占比及增长趋势分析</w:t>
      </w:r>
    </w:p>
    <w:p>
      <w:r>
        <w:rPr>
          <w:rFonts w:ascii="等线(中文正文)" w:hAnsi="等线(中文正文)" w:cs="等线(中文正文)" w:eastAsia="等线(中文正文)"/>
          <w:b w:val="false"/>
          <w:i w:val="false"/>
          <w:sz w:val="20"/>
        </w:rPr>
        <w:t>一季度储能订单增速加快，全年预计动力和储能订单占比将达六开，25年可能七三开，26年或五五开。国内储能设备需求增速更明显，主要大客户包括C、意伟、瑞凡军等，均呈现增长趋势，国内增速快于海外。</w:t>
      </w:r>
    </w:p>
    <w:p>
      <w:r>
        <w:rPr>
          <w:rFonts w:ascii="等线(中文正文)" w:hAnsi="等线(中文正文)" w:cs="等线(中文正文)" w:eastAsia="等线(中文正文)"/>
          <w:b w:val="false"/>
          <w:i w:val="false"/>
          <w:sz w:val="20"/>
        </w:rPr>
        <w:t/>
      </w:r>
    </w:p>
    <w:p>
      <w:pPr>
        <w:pStyle w:val="ab"/>
        <w:numPr>
          <w:numId w:val="11"/>
        </w:numPr>
      </w:pPr>
      <w:r>
        <w:t>26:02 海外订单与汇兑影响分析</w:t>
      </w:r>
    </w:p>
    <w:p>
      <w:r>
        <w:rPr>
          <w:rFonts w:ascii="等线(中文正文)" w:hAnsi="等线(中文正文)" w:cs="等线(中文正文)" w:eastAsia="等线(中文正文)"/>
          <w:b w:val="false"/>
          <w:i w:val="false"/>
          <w:sz w:val="20"/>
        </w:rPr>
        <w:t>对话围绕海外订单及汇兑影响展开，指出24年约100亿海外订单于今年形成验收高峰，毛利率达42%-43%，高于去年。海外回款方面，一季度已体现汇兑影响，但通过套保锁定汇率，避免后续汇兑损失，仅一次性结汇产生汇率损益。</w:t>
      </w:r>
    </w:p>
    <w:p>
      <w:r>
        <w:rPr>
          <w:rFonts w:ascii="等线(中文正文)" w:hAnsi="等线(中文正文)" w:cs="等线(中文正文)" w:eastAsia="等线(中文正文)"/>
          <w:b w:val="false"/>
          <w:i w:val="false"/>
          <w:sz w:val="20"/>
        </w:rPr>
        <w:t/>
      </w:r>
    </w:p>
    <w:p>
      <w:pPr>
        <w:pStyle w:val="ab"/>
        <w:numPr>
          <w:numId w:val="12"/>
        </w:numPr>
      </w:pPr>
      <w:r>
        <w:t>28:18 物资资金与项目推进情况讨论</w:t>
      </w:r>
    </w:p>
    <w:p>
      <w:r>
        <w:rPr>
          <w:rFonts w:ascii="等线(中文正文)" w:hAnsi="等线(中文正文)" w:cs="等线(中文正文)" w:eastAsia="等线(中文正文)"/>
          <w:b w:val="false"/>
          <w:i w:val="false"/>
          <w:sz w:val="20"/>
        </w:rPr>
        <w:t>对话围绕一季度物资资金使用及项目推进情况展开，提及海外研发中心与国内固态项目进展，强调资金到位后项目推进节奏可能加快，需关注木头项目使用进度及募集资金用途，核心推进始于去年下半年及上市后。</w:t>
      </w:r>
    </w:p>
    <w:p>
      <w:r>
        <w:rPr>
          <w:rFonts w:ascii="等线(中文正文)" w:hAnsi="等线(中文正文)" w:cs="等线(中文正文)" w:eastAsia="等线(中文正文)"/>
          <w:b w:val="false"/>
          <w:i w:val="false"/>
          <w:sz w:val="20"/>
        </w:rPr>
        <w:t/>
      </w:r>
    </w:p>
    <w:p>
      <w:pPr>
        <w:pStyle w:val="ab"/>
        <w:numPr>
          <w:numId w:val="13"/>
        </w:numPr>
      </w:pPr>
      <w:r>
        <w:t>29:29 Q1订单与存货情况及全年展望</w:t>
      </w:r>
    </w:p>
    <w:p>
      <w:r>
        <w:rPr>
          <w:rFonts w:ascii="等线(中文正文)" w:hAnsi="等线(中文正文)" w:cs="等线(中文正文)" w:eastAsia="等线(中文正文)"/>
          <w:b w:val="false"/>
          <w:i w:val="false"/>
          <w:sz w:val="20"/>
        </w:rPr>
        <w:t>对话围绕第一季度订单量超预期展开，提及订单加速增长及全年展望可能上调。同时，存货上涨被解释为未来收入的保证，反映订单验收加快的正向指标。</w:t>
      </w:r>
    </w:p>
    <w:p>
      <w:r>
        <w:rPr>
          <w:rFonts w:ascii="等线(中文正文)" w:hAnsi="等线(中文正文)" w:cs="等线(中文正文)" w:eastAsia="等线(中文正文)"/>
          <w:b w:val="false"/>
          <w:i w:val="false"/>
          <w:sz w:val="20"/>
        </w:rPr>
        <w:t/>
      </w:r>
    </w:p>
    <w:p>
      <w:pPr>
        <w:pStyle w:val="ab"/>
        <w:numPr>
          <w:numId w:val="14"/>
        </w:numPr>
      </w:pPr>
      <w:r>
        <w:t>32:54 合同负债增长与订单确认关系分析</w:t>
      </w:r>
    </w:p>
    <w:p>
      <w:r>
        <w:rPr>
          <w:rFonts w:ascii="等线(中文正文)" w:hAnsi="等线(中文正文)" w:cs="等线(中文正文)" w:eastAsia="等线(中文正文)"/>
          <w:b w:val="false"/>
          <w:i w:val="false"/>
          <w:sz w:val="20"/>
        </w:rPr>
        <w:t>对话主要讨论了合同负债的增长情况及其与订单确认的关系，指出合同负债的增长不仅反映了新订单的增加，还体现了项目验收速度的影响。一季度合同负债显著增长，预示着后续收入确认的潜力。同时，提及了头部客户在破产过程中的订单获取策略，以及储能和海外市场订单增速加快的趋势。整体上，合同负债的增加与谨慎的订单处理策略相吻合，体现了公司在订单管理和收入确认方面的稳健性。</w:t>
      </w:r>
    </w:p>
    <w:p>
      <w:r>
        <w:rPr>
          <w:rFonts w:ascii="等线(中文正文)" w:hAnsi="等线(中文正文)" w:cs="等线(中文正文)" w:eastAsia="等线(中文正文)"/>
          <w:b w:val="false"/>
          <w:i w:val="false"/>
          <w:sz w:val="20"/>
        </w:rPr>
        <w:t/>
      </w:r>
    </w:p>
    <w:p>
      <w:pPr>
        <w:pStyle w:val="ab"/>
        <w:numPr>
          <w:numId w:val="15"/>
        </w:numPr>
      </w:pPr>
      <w:r>
        <w:t>35:37 募集资金用途及建设进度说明</w:t>
      </w:r>
    </w:p>
    <w:p>
      <w:r>
        <w:rPr>
          <w:rFonts w:ascii="等线(中文正文)" w:hAnsi="等线(中文正文)" w:cs="等线(中文正文)" w:eastAsia="等线(中文正文)"/>
          <w:b w:val="false"/>
          <w:i w:val="false"/>
          <w:sz w:val="20"/>
        </w:rPr>
        <w:t>对话围绕募集资金的详细使用规划展开，主要投向海外研发与市场拓展，以及国内固态电池研发和生产。自去年下半年起，这两方面建设持续推进，海外业务规模和区域逐渐扩大，资金按规划持续投入。参与者可参考招股说明书中的募集资金用途章节获取更多信息。</w:t>
      </w:r>
    </w:p>
    <w:p>
      <w:r>
        <w:rPr>
          <w:rFonts w:ascii="等线(中文正文)" w:hAnsi="等线(中文正文)" w:cs="等线(中文正文)" w:eastAsia="等线(中文正文)"/>
          <w:b w:val="false"/>
          <w:i w:val="false"/>
          <w:sz w:val="20"/>
        </w:rPr>
        <w:t/>
      </w:r>
    </w:p>
    <w:p>
      <w:pPr>
        <w:pStyle w:val="ab"/>
        <w:numPr>
          <w:numId w:val="16"/>
        </w:numPr>
      </w:pPr>
      <w:r>
        <w:t>37:12 固态电池行业成本与海外项目参与讨论</w:t>
      </w:r>
    </w:p>
    <w:p>
      <w:r>
        <w:rPr>
          <w:rFonts w:ascii="等线(中文正文)" w:hAnsi="等线(中文正文)" w:cs="等线(中文正文)" w:eastAsia="等线(中文正文)"/>
          <w:b w:val="false"/>
          <w:i w:val="false"/>
          <w:sz w:val="20"/>
        </w:rPr>
        <w:t>对话围绕固态电池行业展开，讨论了原材料成本波动对生产成本的影响及公司应对策略，同时提及了海外项目参与情况，特别是日韩市场的突破。参会者对成本控制和海外业务发展表达了关注，并得到了相关解释和信息。</w:t>
      </w:r>
    </w:p>
    <w:p>
      <w:r>
        <w:rPr>
          <w:rFonts w:ascii="等线(中文正文)" w:hAnsi="等线(中文正文)" w:cs="等线(中文正文)" w:eastAsia="等线(中文正文)"/>
          <w:b w:val="false"/>
          <w:i w:val="false"/>
          <w:sz w:val="20"/>
        </w:rPr>
        <w:t/>
      </w:r>
    </w:p>
    <w:p>
      <w:pPr>
        <w:pStyle w:val="ab"/>
        <w:numPr>
          <w:numId w:val="17"/>
        </w:numPr>
      </w:pPr>
      <w:r>
        <w:t>41:27 锂电设备行业未来需求与扩产趋势分析</w:t>
      </w:r>
    </w:p>
    <w:p>
      <w:r>
        <w:rPr>
          <w:rFonts w:ascii="等线(中文正文)" w:hAnsi="等线(中文正文)" w:cs="等线(中文正文)" w:eastAsia="等线(中文正文)"/>
          <w:b w:val="false"/>
          <w:i w:val="false"/>
          <w:sz w:val="20"/>
        </w:rPr>
        <w:t>讨论了锂电设备行业未来几年的需求增长潜力，特别是储能和数据中心配置需求的上升。预计至2030年，动力、传统配套和新兴需求将各占市场份额的三分之一，表明行业仍处于增长初期，而非高峰。建议关注公司核心业务毛利率及净利润的持续提升趋势。</w:t>
      </w:r>
    </w:p>
    <w:p>
      <w:r>
        <w:rPr>
          <w:rFonts w:ascii="等线(中文正文)" w:hAnsi="等线(中文正文)" w:cs="等线(中文正文)" w:eastAsia="等线(中文正文)"/>
          <w:b w:val="false"/>
          <w:i w:val="false"/>
          <w:sz w:val="20"/>
        </w:rPr>
        <w:t/>
      </w:r>
    </w:p>
    <w:p>
      <w:pPr>
        <w:pStyle w:val="a7"/>
      </w:pPr>
      <w:r>
        <w:t>发言总结</w:t>
      </w:r>
    </w:p>
    <w:p>
      <w:pPr>
        <w:pStyle w:val="ab"/>
        <w:numPr>
          <w:numId w:val="18"/>
        </w:numPr>
      </w:pPr>
      <w:r>
        <w:t>发言人1</w:t>
      </w:r>
    </w:p>
    <w:p>
      <w:r>
        <w:rPr>
          <w:rFonts w:ascii="等线(中文正文)" w:hAnsi="等线(中文正文)" w:cs="等线(中文正文)" w:eastAsia="等线(中文正文)"/>
          <w:b w:val="false"/>
          <w:i w:val="false"/>
          <w:sz w:val="20"/>
        </w:rPr>
        <w:t>在2026年一季度业绩交流会上，他强调会议内容仅限参会者内部使用，提醒投资者注意市场风险。会议回顾了先导智能的订单与财务状况，指出锂电行业持续增长，一季度新签订单增长超过60%，国内锂电订单占比近60%。他强调公司业绩表现积极，包括收入、净利润、毛利率和期间费用率均呈上升趋势，并强调公司有明显的降本增效成果。同时，他提醒投资者关注锂电设备市场的动态，包括储能、钠电和固态电池等领域的进展。最后，他对公司的财务表现和行业发展趋势表达了乐观态度，并鼓励投资者持续关注公司后续表现。</w:t>
      </w:r>
    </w:p>
    <w:p>
      <w:r>
        <w:rPr>
          <w:rFonts w:ascii="等线(中文正文)" w:hAnsi="等线(中文正文)" w:cs="等线(中文正文)" w:eastAsia="等线(中文正文)"/>
          <w:b w:val="false"/>
          <w:i w:val="false"/>
          <w:sz w:val="20"/>
        </w:rPr>
        <w:t/>
      </w:r>
    </w:p>
    <w:p>
      <w:pPr>
        <w:pStyle w:val="a7"/>
      </w:pPr>
      <w:r>
        <w:t>要点回顾</w:t>
      </w:r>
    </w:p>
    <w:p>
      <w:pPr>
        <w:pStyle w:val="ab"/>
      </w:pPr>
      <w:r>
        <w:t>先导智能2026年一季度业绩交流会，关于财务费用和汇兑损益对整个利润的影响能否解释一下？</w:t>
      </w:r>
    </w:p>
    <w:p>
      <w:r>
        <w:rPr>
          <w:rFonts w:ascii="等线(中文正文)" w:hAnsi="等线(中文正文)" w:cs="等线(中文正文)" w:eastAsia="等线(中文正文)"/>
          <w:b w:val="false"/>
          <w:i w:val="false"/>
          <w:sz w:val="20"/>
        </w:rPr>
        <w:t>发言人1：好的，一季度的财务费用为8578万元，其中汇兑损益占比8280万元。主要是由于一季度港股上市导致的结汇性影响，这是去年所没有的。如果将汇兑损失8280万元还原，实际上一季度的利润可能会有30%以上的同比增长。</w:t>
      </w:r>
    </w:p>
    <w:p>
      <w:r>
        <w:rPr>
          <w:rFonts w:ascii="等线(中文正文)" w:hAnsi="等线(中文正文)" w:cs="等线(中文正文)" w:eastAsia="等线(中文正文)"/>
          <w:b w:val="false"/>
          <w:i w:val="false"/>
          <w:sz w:val="20"/>
        </w:rPr>
        <w:t/>
      </w:r>
    </w:p>
    <w:p>
      <w:pPr>
        <w:pStyle w:val="ab"/>
      </w:pPr>
      <w:r>
        <w:t>先导智能在2026年一季度的营业收入与市场预期相比，似乎增速略低，为什么会出现这种情况？</w:t>
      </w:r>
    </w:p>
    <w:p>
      <w:r>
        <w:rPr>
          <w:rFonts w:ascii="等线(中文正文)" w:hAnsi="等线(中文正文)" w:cs="等线(中文正文)" w:eastAsia="等线(中文正文)"/>
          <w:b w:val="false"/>
          <w:i w:val="false"/>
          <w:sz w:val="20"/>
        </w:rPr>
        <w:t>发言人1：虽然公司在2025年订单增速很高，但由于行业景气度高，市场需求旺盛，但一季度营收可能并未达到市场普遍预期的水平，具体原因需要进一步分析。</w:t>
      </w:r>
    </w:p>
    <w:p>
      <w:r>
        <w:rPr>
          <w:rFonts w:ascii="等线(中文正文)" w:hAnsi="等线(中文正文)" w:cs="等线(中文正文)" w:eastAsia="等线(中文正文)"/>
          <w:b w:val="false"/>
          <w:i w:val="false"/>
          <w:sz w:val="20"/>
        </w:rPr>
        <w:t/>
      </w:r>
    </w:p>
    <w:p>
      <w:pPr>
        <w:pStyle w:val="ab"/>
      </w:pPr>
      <w:r>
        <w:t>验收方面，为什么现在有一个逐渐加快的过程？</w:t>
      </w:r>
    </w:p>
    <w:p>
      <w:r>
        <w:rPr>
          <w:rFonts w:ascii="等线(中文正文)" w:hAnsi="等线(中文正文)" w:cs="等线(中文正文)" w:eastAsia="等线(中文正文)"/>
          <w:b w:val="false"/>
          <w:i w:val="false"/>
          <w:sz w:val="20"/>
        </w:rPr>
        <w:t>发言人1：从结论来讲，当前的验收过程在逐渐加快，这主要是因为收入通常反映的是1年到1年半前的订单情况。一季度的验收情况实际上反映了24年下半年至25年的整体订单状况，而行业的订单低点出现在24年三季度左右。从24年一季度到三季度，验收金额呈现上升趋势。</w:t>
      </w:r>
    </w:p>
    <w:p>
      <w:r>
        <w:rPr>
          <w:rFonts w:ascii="等线(中文正文)" w:hAnsi="等线(中文正文)" w:cs="等线(中文正文)" w:eastAsia="等线(中文正文)"/>
          <w:b w:val="false"/>
          <w:i w:val="false"/>
          <w:sz w:val="20"/>
        </w:rPr>
        <w:t/>
      </w:r>
    </w:p>
    <w:p>
      <w:pPr>
        <w:pStyle w:val="ab"/>
      </w:pPr>
      <w:r>
        <w:t>关于咱们公司的净利率展望是怎样的？</w:t>
      </w:r>
    </w:p>
    <w:p>
      <w:r>
        <w:rPr>
          <w:rFonts w:ascii="等线(中文正文)" w:hAnsi="等线(中文正文)" w:cs="等线(中文正文)" w:eastAsia="等线(中文正文)"/>
          <w:b w:val="false"/>
          <w:i w:val="false"/>
          <w:sz w:val="20"/>
        </w:rPr>
        <w:t>发言人1：从整体趋势看，随着毛利率的提升（包括锂电业务和海外业务的贡献），以及基金费用率逐渐体现降本增效的效果，我们预期每个季度的净利润率都将呈现逐季度提升的过程。尤其在二三季度营收确认加快后，边际效应会更为明显，预计能尽快恢复到23年时约16%-17%的净利润率水平，并在未来随着高毛利率订单兑现，净利率有望进一步突破16、17%，甚至达到更高水平。</w:t>
      </w:r>
    </w:p>
    <w:p>
      <w:r>
        <w:rPr>
          <w:rFonts w:ascii="等线(中文正文)" w:hAnsi="等线(中文正文)" w:cs="等线(中文正文)" w:eastAsia="等线(中文正文)"/>
          <w:b w:val="false"/>
          <w:i w:val="false"/>
          <w:sz w:val="20"/>
        </w:rPr>
        <w:t/>
      </w:r>
    </w:p>
    <w:p>
      <w:pPr>
        <w:pStyle w:val="ab"/>
      </w:pPr>
      <w:r>
        <w:t>对于锂电设备新接订单及一季度验收的收入中，门店毛利率大概能有多少？</w:t>
      </w:r>
    </w:p>
    <w:p>
      <w:r>
        <w:rPr>
          <w:rFonts w:ascii="等线(中文正文)" w:hAnsi="等线(中文正文)" w:cs="等线(中文正文)" w:eastAsia="等线(中文正文)"/>
          <w:b w:val="false"/>
          <w:i w:val="false"/>
          <w:sz w:val="20"/>
        </w:rPr>
        <w:t>发言人1：一季度锂电设备的毛利率相较于四季度进一步提升，包括海外锂电业务的毛利率也呈上升趋势。一季度会减少之前较低毛利率的光伏订单，因此对整体毛利率起到拉平作用。在剔除这一影响后，后续毛利率将保持整体向上的趋势。</w:t>
      </w:r>
    </w:p>
    <w:p>
      <w:r>
        <w:rPr>
          <w:rFonts w:ascii="等线(中文正文)" w:hAnsi="等线(中文正文)" w:cs="等线(中文正文)" w:eastAsia="等线(中文正文)"/>
          <w:b w:val="false"/>
          <w:i w:val="false"/>
          <w:sz w:val="20"/>
        </w:rPr>
        <w:t/>
      </w:r>
    </w:p>
    <w:p>
      <w:pPr>
        <w:pStyle w:val="ab"/>
      </w:pPr>
      <w:r>
        <w:t>毛利和净利率的影响因素是什么？</w:t>
      </w:r>
    </w:p>
    <w:p>
      <w:r>
        <w:rPr>
          <w:rFonts w:ascii="等线(中文正文)" w:hAnsi="等线(中文正文)" w:cs="等线(中文正文)" w:eastAsia="等线(中文正文)"/>
          <w:b w:val="false"/>
          <w:i w:val="false"/>
          <w:sz w:val="20"/>
        </w:rPr>
        <w:t>发言人1：毛利和净利率的影响主要来自于产品结构的变化以及二季度之后收入和验收的加快导致收入体量显著提升。同时，一季度净利润增长受到资产减值损失的影响较为明显，若还原这一差异，经营性利润增长可能超过40%。</w:t>
      </w:r>
    </w:p>
    <w:p>
      <w:r>
        <w:rPr>
          <w:rFonts w:ascii="等线(中文正文)" w:hAnsi="等线(中文正文)" w:cs="等线(中文正文)" w:eastAsia="等线(中文正文)"/>
          <w:b w:val="false"/>
          <w:i w:val="false"/>
          <w:sz w:val="20"/>
        </w:rPr>
        <w:t/>
      </w:r>
    </w:p>
    <w:p>
      <w:pPr>
        <w:pStyle w:val="ab"/>
      </w:pPr>
      <w:r>
        <w:t>去年财务费用是否因为汇率波动而有所变化？关于钠电和固态业务的进展如何？</w:t>
      </w:r>
    </w:p>
    <w:p>
      <w:r>
        <w:rPr>
          <w:rFonts w:ascii="等线(中文正文)" w:hAnsi="等线(中文正文)" w:cs="等线(中文正文)" w:eastAsia="等线(中文正文)"/>
          <w:b w:val="false"/>
          <w:i w:val="false"/>
          <w:sz w:val="20"/>
        </w:rPr>
        <w:t>发言人1：去年财务费用基本稳定，没有受到汇兑损益的影响，因为汇率较为平稳。而今年一季度的财务费用主要由汇率损失构成，去年的财务费用主要是正常的利息支出。针对钠电设备，我们正配合大客户为下半年的量产做准备，相关设备已做好技术储备，新技术的毛利率水平会高于以往产品，并且具备先发优势，不仅在国内，在欧洲也有长期合作。而对于固态电池领域，全球竞争格局加剧，海外国家快速发展，国内从去年下半年开始加快步伐，已有头部企业参与规范制定和设备招标，预计到2026年实现小批量装车，2027年大批量应用，2030年实现商业化。</w:t>
      </w:r>
    </w:p>
    <w:p>
      <w:r>
        <w:rPr>
          <w:rFonts w:ascii="等线(中文正文)" w:hAnsi="等线(中文正文)" w:cs="等线(中文正文)" w:eastAsia="等线(中文正文)"/>
          <w:b w:val="false"/>
          <w:i w:val="false"/>
          <w:sz w:val="20"/>
        </w:rPr>
        <w:t/>
      </w:r>
    </w:p>
    <w:p>
      <w:pPr>
        <w:pStyle w:val="ab"/>
      </w:pPr>
      <w:r>
        <w:t>对于钠电这边，总体工艺和设备变化大吗？单位投资金额是多少量级？</w:t>
      </w:r>
    </w:p>
    <w:p>
      <w:r>
        <w:rPr>
          <w:rFonts w:ascii="等线(中文正文)" w:hAnsi="等线(中文正文)" w:cs="等线(中文正文)" w:eastAsia="等线(中文正文)"/>
          <w:b w:val="false"/>
          <w:i w:val="false"/>
          <w:sz w:val="20"/>
        </w:rPr>
        <w:t>发言人1：钠电方面，整体工艺和设备会有一定的升级，尤其是在设备上需要适配钠电的特点，这会带来一定的设备工艺和技术溢价。单位投资金额的具体量级没有明确给出，但提到客户在下半年可能开始增加相关订单。</w:t>
      </w:r>
    </w:p>
    <w:p>
      <w:r>
        <w:rPr>
          <w:rFonts w:ascii="等线(中文正文)" w:hAnsi="等线(中文正文)" w:cs="等线(中文正文)" w:eastAsia="等线(中文正文)"/>
          <w:b w:val="false"/>
          <w:i w:val="false"/>
          <w:sz w:val="20"/>
        </w:rPr>
        <w:t/>
      </w:r>
    </w:p>
    <w:p>
      <w:pPr>
        <w:pStyle w:val="ab"/>
      </w:pPr>
      <w:r>
        <w:t>针对固态电池方面，今年是否有大概的量化指标，比如从订单的角度？</w:t>
      </w:r>
    </w:p>
    <w:p>
      <w:r>
        <w:rPr>
          <w:rFonts w:ascii="等线(中文正文)" w:hAnsi="等线(中文正文)" w:cs="等线(中文正文)" w:eastAsia="等线(中文正文)"/>
          <w:b w:val="false"/>
          <w:i w:val="false"/>
          <w:sz w:val="20"/>
        </w:rPr>
        <w:t>发言人1：从订单情况肯定是要跟随客户的情况走。如果客户从下半年开始增加相关订单，我们这边也会跟着客户一起放量。今年相较于去年，整个行业增长较快，我们因为市占率进一步提升，所以整体体量和增长可能比行业更快，接近翻倍。</w:t>
      </w:r>
    </w:p>
    <w:p>
      <w:r>
        <w:rPr>
          <w:rFonts w:ascii="等线(中文正文)" w:hAnsi="等线(中文正文)" w:cs="等线(中文正文)" w:eastAsia="等线(中文正文)"/>
          <w:b w:val="false"/>
          <w:i w:val="false"/>
          <w:sz w:val="20"/>
        </w:rPr>
        <w:t/>
      </w:r>
    </w:p>
    <w:p>
      <w:pPr>
        <w:pStyle w:val="ab"/>
      </w:pPr>
      <w:r>
        <w:t>今年整个行业在钠电新投建产能方面有没有比较宽口径的数据？</w:t>
      </w:r>
    </w:p>
    <w:p>
      <w:r>
        <w:rPr>
          <w:rFonts w:ascii="等线(中文正文)" w:hAnsi="等线(中文正文)" w:cs="等线(中文正文)" w:eastAsia="等线(中文正文)"/>
          <w:b w:val="false"/>
          <w:i w:val="false"/>
          <w:sz w:val="20"/>
        </w:rPr>
        <w:t>发言人1：目前整个行业对于钠电新投建产能的具体数据还未给出，客户正在测试市场，所以我们会根据客户的扩产量来调整。目前该赛道尚处于起步阶段，没有明确的第一梯队数据。</w:t>
      </w:r>
    </w:p>
    <w:p>
      <w:r>
        <w:rPr>
          <w:rFonts w:ascii="等线(中文正文)" w:hAnsi="等线(中文正文)" w:cs="等线(中文正文)" w:eastAsia="等线(中文正文)"/>
          <w:b w:val="false"/>
          <w:i w:val="false"/>
          <w:sz w:val="20"/>
        </w:rPr>
        <w:t/>
      </w:r>
    </w:p>
    <w:p>
      <w:pPr>
        <w:pStyle w:val="ab"/>
      </w:pPr>
      <w:r>
        <w:t>在化成分容设备领域，关于技术要求提高带来的价值量提升以及我们在客户端的份额预期，是否有大致展望？</w:t>
      </w:r>
    </w:p>
    <w:p>
      <w:r>
        <w:rPr>
          <w:rFonts w:ascii="等线(中文正文)" w:hAnsi="等线(中文正文)" w:cs="等线(中文正文)" w:eastAsia="等线(中文正文)"/>
          <w:b w:val="false"/>
          <w:i w:val="false"/>
          <w:sz w:val="20"/>
        </w:rPr>
        <w:t>发言人1：在大客户的超级科技日上，确实有提到化成分容设备的技术要求提高和时间延长，从而可能导致设备价值量有所提升。公司在这一领域具有领先优势，对于价值量提升和市场份额预期暂时没有给出具体展望。</w:t>
      </w:r>
    </w:p>
    <w:p>
      <w:r>
        <w:rPr>
          <w:rFonts w:ascii="等线(中文正文)" w:hAnsi="等线(中文正文)" w:cs="等线(中文正文)" w:eastAsia="等线(中文正文)"/>
          <w:b w:val="false"/>
          <w:i w:val="false"/>
          <w:sz w:val="20"/>
        </w:rPr>
        <w:t/>
      </w:r>
    </w:p>
    <w:p>
      <w:pPr>
        <w:pStyle w:val="ab"/>
      </w:pPr>
      <w:r>
        <w:t>除了合作大陆外，国内外其他客户在储能领域的需求和跟进情况如何？</w:t>
      </w:r>
    </w:p>
    <w:p>
      <w:r>
        <w:rPr>
          <w:rFonts w:ascii="等线(中文正文)" w:hAnsi="等线(中文正文)" w:cs="等线(中文正文)" w:eastAsia="等线(中文正文)"/>
          <w:b w:val="false"/>
          <w:i w:val="false"/>
          <w:sz w:val="20"/>
        </w:rPr>
        <w:t>发言人1：公司在国内外储能领域的客户合作上具有先发优势，与法国的一些投资客户如TRN、TIAMT一直保持良好合作，并且获取了较大的订单。无论是国内还是海外客户，在储能领域的扩产需求和突破，公司都会把握好先发优势。</w:t>
      </w:r>
    </w:p>
    <w:p>
      <w:r>
        <w:rPr>
          <w:rFonts w:ascii="等线(中文正文)" w:hAnsi="等线(中文正文)" w:cs="等线(中文正文)" w:eastAsia="等线(中文正文)"/>
          <w:b w:val="false"/>
          <w:i w:val="false"/>
          <w:sz w:val="20"/>
        </w:rPr>
        <w:t/>
      </w:r>
    </w:p>
    <w:p>
      <w:pPr>
        <w:pStyle w:val="ab"/>
      </w:pPr>
      <w:r>
        <w:t>目前动力和储能的订单占比大概是怎样的，以及下半年及全年可能的变化趋势？</w:t>
      </w:r>
    </w:p>
    <w:p>
      <w:r>
        <w:rPr>
          <w:rFonts w:ascii="等线(中文正文)" w:hAnsi="等线(中文正文)" w:cs="等线(中文正文)" w:eastAsia="等线(中文正文)"/>
          <w:b w:val="false"/>
          <w:i w:val="false"/>
          <w:sz w:val="20"/>
        </w:rPr>
        <w:t>发言人1：动力和储能的订单占比在渐变过程中，预计到25年可能会变成五五开的局面，即一半一半的比例。一季度以来，储能订单增速已超过动力订单。在国内和海外方面，目前两者都在增长，其中国内增速更为明显，且多个大客户正在考虑从动力向储能切换。</w:t>
      </w:r>
    </w:p>
    <w:p>
      <w:r>
        <w:rPr>
          <w:rFonts w:ascii="等线(中文正文)" w:hAnsi="等线(中文正文)" w:cs="等线(中文正文)" w:eastAsia="等线(中文正文)"/>
          <w:b w:val="false"/>
          <w:i w:val="false"/>
          <w:sz w:val="20"/>
        </w:rPr>
        <w:t/>
      </w:r>
    </w:p>
    <w:p>
      <w:pPr>
        <w:pStyle w:val="ab"/>
      </w:pPr>
      <w:r>
        <w:t>在海外订单方面，前期24年的海外订单的毛利率情况如何？对今年整体劳力的贡献是什么？另外，海外逐步回款带来的汇率影响应该如何评估？</w:t>
      </w:r>
    </w:p>
    <w:p>
      <w:r>
        <w:rPr>
          <w:rFonts w:ascii="等线(中文正文)" w:hAnsi="等线(中文正文)" w:cs="等线(中文正文)" w:eastAsia="等线(中文正文)"/>
          <w:b w:val="false"/>
          <w:i w:val="false"/>
          <w:sz w:val="20"/>
        </w:rPr>
        <w:t>发言人1：关于海外订单，24年我们确实获得了大约100亿的海外订单，这将导致今年海外验收高峰期的到来。关于毛利率，前期的高毛利海外业务已经开始转化为收入，目前海外毛利率已提升至42%以上，比去年有所提高。从税收和回款情况看，前期汇率因素已通过套保锁定，不会出现汇兑损失。一次性的汇兑损失主要源于一季度结汇的时间差，后续将不再有此类影响。</w:t>
      </w:r>
    </w:p>
    <w:p>
      <w:r>
        <w:rPr>
          <w:rFonts w:ascii="等线(中文正文)" w:hAnsi="等线(中文正文)" w:cs="等线(中文正文)" w:eastAsia="等线(中文正文)"/>
          <w:b w:val="false"/>
          <w:i w:val="false"/>
          <w:sz w:val="20"/>
        </w:rPr>
        <w:t/>
      </w:r>
    </w:p>
    <w:p>
      <w:pPr>
        <w:pStyle w:val="ab"/>
      </w:pPr>
      <w:r>
        <w:t>一季度物资情况如何？海外研发中心和国内固态项目推进进展如何？资金到位后是否会加快项目推进节奏？</w:t>
      </w:r>
    </w:p>
    <w:p>
      <w:r>
        <w:rPr>
          <w:rFonts w:ascii="等线(中文正文)" w:hAnsi="等线(中文正文)" w:cs="等线(中文正文)" w:eastAsia="等线(中文正文)"/>
          <w:b w:val="false"/>
          <w:i w:val="false"/>
          <w:sz w:val="20"/>
        </w:rPr>
        <w:t>发言人1：一季度物资情况需关注整体木头项目的使用进度，该使用进度与上市后的募集资金用途紧密相关，从去年下半年开始逐步进入正轨。海外研发中心和国内固态项目的建设方面，前期主要依靠自有资金推进，随着物资资金到位，后续项目推进节奏有望进一步加快。</w:t>
      </w:r>
    </w:p>
    <w:p>
      <w:r>
        <w:rPr>
          <w:rFonts w:ascii="等线(中文正文)" w:hAnsi="等线(中文正文)" w:cs="等线(中文正文)" w:eastAsia="等线(中文正文)"/>
          <w:b w:val="false"/>
          <w:i w:val="false"/>
          <w:sz w:val="20"/>
        </w:rPr>
        <w:t/>
      </w:r>
    </w:p>
    <w:p>
      <w:pPr>
        <w:pStyle w:val="ab"/>
      </w:pPr>
      <w:r>
        <w:t>Q1新增订单量超预期，全年新鲜订单量是否有可能从原本预计的30%以上增幅进一步上调？</w:t>
      </w:r>
    </w:p>
    <w:p>
      <w:r>
        <w:rPr>
          <w:rFonts w:ascii="等线(中文正文)" w:hAnsi="等线(中文正文)" w:cs="等线(中文正文)" w:eastAsia="等线(中文正文)"/>
          <w:b w:val="false"/>
          <w:i w:val="false"/>
          <w:sz w:val="20"/>
        </w:rPr>
        <w:t>发言人1：原本预计今年订单增长30%以上，但从一季度至今，下游客户下单情况远超预期。截至3月底，今天订单同比增长超过60%，并且还有额外未入账的中标订单约40亿。因此，全年新签订单量将延续加速趋势，可能会超过原本预计的30%增速。</w:t>
      </w:r>
    </w:p>
    <w:p>
      <w:r>
        <w:rPr>
          <w:rFonts w:ascii="等线(中文正文)" w:hAnsi="等线(中文正文)" w:cs="等线(中文正文)" w:eastAsia="等线(中文正文)"/>
          <w:b w:val="false"/>
          <w:i w:val="false"/>
          <w:sz w:val="20"/>
        </w:rPr>
        <w:t/>
      </w:r>
    </w:p>
    <w:p>
      <w:pPr>
        <w:pStyle w:val="ab"/>
      </w:pPr>
      <w:r>
        <w:t>Q1存货情况上涨较快的原因是什么？</w:t>
      </w:r>
    </w:p>
    <w:p>
      <w:r>
        <w:rPr>
          <w:rFonts w:ascii="等线(中文正文)" w:hAnsi="等线(中文正文)" w:cs="等线(中文正文)" w:eastAsia="等线(中文正文)"/>
          <w:b w:val="false"/>
          <w:i w:val="false"/>
          <w:sz w:val="20"/>
        </w:rPr>
        <w:t>发言人1：存货增加主要是因为以商品为主的产品正在制造中，未来会转化为收入，所以存货增加是验收逐步加快和订单上升的积极指标。</w:t>
      </w:r>
    </w:p>
    <w:p>
      <w:r>
        <w:rPr>
          <w:rFonts w:ascii="等线(中文正文)" w:hAnsi="等线(中文正文)" w:cs="等线(中文正文)" w:eastAsia="等线(中文正文)"/>
          <w:b w:val="false"/>
          <w:i w:val="false"/>
          <w:sz w:val="20"/>
        </w:rPr>
        <w:t/>
      </w:r>
    </w:p>
    <w:p>
      <w:pPr>
        <w:pStyle w:val="ab"/>
      </w:pPr>
      <w:r>
        <w:t>合同负债指标的增长说明了什么？</w:t>
      </w:r>
    </w:p>
    <w:p>
      <w:r>
        <w:rPr>
          <w:rFonts w:ascii="等线(中文正文)" w:hAnsi="等线(中文正文)" w:cs="等线(中文正文)" w:eastAsia="等线(中文正文)"/>
          <w:b w:val="false"/>
          <w:i w:val="false"/>
          <w:sz w:val="20"/>
        </w:rPr>
        <w:t>发言人1：合同负债单季度增长显著，反映了新订单的增加以及老项目结转收入后的减少，是一个双向影响的结果。一季度合同负债增长说明订单进来快，而验收尚未跟上，这表明后续收入量可能会上升。</w:t>
      </w:r>
    </w:p>
    <w:p>
      <w:r>
        <w:rPr>
          <w:rFonts w:ascii="等线(中文正文)" w:hAnsi="等线(中文正文)" w:cs="等线(中文正文)" w:eastAsia="等线(中文正文)"/>
          <w:b w:val="false"/>
          <w:i w:val="false"/>
          <w:sz w:val="20"/>
        </w:rPr>
        <w:t/>
      </w:r>
    </w:p>
    <w:p>
      <w:pPr>
        <w:pStyle w:val="ab"/>
      </w:pPr>
      <w:r>
        <w:t>储能方面，海外这边增速较快，客户结构是否有明显变化？</w:t>
      </w:r>
    </w:p>
    <w:p>
      <w:r>
        <w:rPr>
          <w:rFonts w:ascii="等线(中文正文)" w:hAnsi="等线(中文正文)" w:cs="等线(中文正文)" w:eastAsia="等线(中文正文)"/>
          <w:b w:val="false"/>
          <w:i w:val="false"/>
          <w:sz w:val="20"/>
        </w:rPr>
        <w:t>发言人1：这一轮扩产中，前五前八的头部客户中有部分破产，关注这些头部客户的市占率情况，其破产节奏和幅度与他们的市场份额相匹配。我们主要服务于这些头部客户，南方订单量与他们的售卖率基本吻合。</w:t>
      </w:r>
    </w:p>
    <w:p>
      <w:r>
        <w:rPr>
          <w:rFonts w:ascii="等线(中文正文)" w:hAnsi="等线(中文正文)" w:cs="等线(中文正文)" w:eastAsia="等线(中文正文)"/>
          <w:b w:val="false"/>
          <w:i w:val="false"/>
          <w:sz w:val="20"/>
        </w:rPr>
        <w:t/>
      </w:r>
    </w:p>
    <w:p>
      <w:pPr>
        <w:pStyle w:val="ab"/>
      </w:pPr>
      <w:r>
        <w:t>Q1时期在港股的投资情况如何？</w:t>
      </w:r>
    </w:p>
    <w:p>
      <w:r>
        <w:rPr>
          <w:rFonts w:ascii="等线(中文正文)" w:hAnsi="等线(中文正文)" w:cs="等线(中文正文)" w:eastAsia="等线(中文正文)"/>
          <w:b w:val="false"/>
          <w:i w:val="false"/>
          <w:sz w:val="20"/>
        </w:rPr>
        <w:t>发言人1：Q1时期主要投向海外建设及国内固态电池建设。关于建设进度和节奏，详细的使用规划可以参考招股说明书中的募集资金用途部分。</w:t>
      </w:r>
    </w:p>
    <w:p>
      <w:r>
        <w:rPr>
          <w:rFonts w:ascii="等线(中文正文)" w:hAnsi="等线(中文正文)" w:cs="等线(中文正文)" w:eastAsia="等线(中文正文)"/>
          <w:b w:val="false"/>
          <w:i w:val="false"/>
          <w:sz w:val="20"/>
        </w:rPr>
        <w:t/>
      </w:r>
    </w:p>
    <w:p>
      <w:pPr>
        <w:pStyle w:val="ab"/>
      </w:pPr>
      <w:r>
        <w:t>投资资金主要用途是什么？</w:t>
      </w:r>
    </w:p>
    <w:p>
      <w:r>
        <w:rPr>
          <w:rFonts w:ascii="等线(中文正文)" w:hAnsi="等线(中文正文)" w:cs="等线(中文正文)" w:eastAsia="等线(中文正文)"/>
          <w:b w:val="false"/>
          <w:i w:val="false"/>
          <w:sz w:val="20"/>
        </w:rPr>
        <w:t>发言人1：资金主要用途包括海外研发、市场拓展，以及国内固态电池的研发和生产。这两部分从去年下半年开始就在持续进行中。</w:t>
      </w:r>
    </w:p>
    <w:p>
      <w:r>
        <w:rPr>
          <w:rFonts w:ascii="等线(中文正文)" w:hAnsi="等线(中文正文)" w:cs="等线(中文正文)" w:eastAsia="等线(中文正文)"/>
          <w:b w:val="false"/>
          <w:i w:val="false"/>
          <w:sz w:val="20"/>
        </w:rPr>
        <w:t/>
      </w:r>
    </w:p>
    <w:p>
      <w:pPr>
        <w:pStyle w:val="ab"/>
      </w:pPr>
      <w:r>
        <w:t>上游材料涨价对今年固态电池订单的影响如何？</w:t>
      </w:r>
    </w:p>
    <w:p>
      <w:r>
        <w:rPr>
          <w:rFonts w:ascii="等线(中文正文)" w:hAnsi="等线(中文正文)" w:cs="等线(中文正文)" w:eastAsia="等线(中文正文)"/>
          <w:b w:val="false"/>
          <w:i w:val="false"/>
          <w:sz w:val="20"/>
        </w:rPr>
        <w:t>发言人1：上游原材料涨价对我们的成本影响相对较小，原因有三：原材料成本占生产成本比重不大；供应商群体较为分散，我们具有较强的议价能力；并且通过年度长协可以平滑短期波动，因此原材料供应商价格波动对公司成本端影响不大。</w:t>
      </w:r>
    </w:p>
    <w:p>
      <w:r>
        <w:rPr>
          <w:rFonts w:ascii="等线(中文正文)" w:hAnsi="等线(中文正文)" w:cs="等线(中文正文)" w:eastAsia="等线(中文正文)"/>
          <w:b w:val="false"/>
          <w:i w:val="false"/>
          <w:sz w:val="20"/>
        </w:rPr>
        <w:t/>
      </w:r>
    </w:p>
    <w:p>
      <w:pPr>
        <w:pStyle w:val="ab"/>
      </w:pPr>
      <w:r>
        <w:t>下游市场的情况如何？</w:t>
      </w:r>
    </w:p>
    <w:p>
      <w:r>
        <w:rPr>
          <w:rFonts w:ascii="等线(中文正文)" w:hAnsi="等线(中文正文)" w:cs="等线(中文正文)" w:eastAsia="等线(中文正文)"/>
          <w:b w:val="false"/>
          <w:i w:val="false"/>
          <w:sz w:val="20"/>
        </w:rPr>
        <w:t>发言人1：下游市场在价格端表现稳定，国内和海外订单量均保持平稳状态。</w:t>
      </w:r>
    </w:p>
    <w:p>
      <w:r>
        <w:rPr>
          <w:rFonts w:ascii="等线(中文正文)" w:hAnsi="等线(中文正文)" w:cs="等线(中文正文)" w:eastAsia="等线(中文正文)"/>
          <w:b w:val="false"/>
          <w:i w:val="false"/>
          <w:sz w:val="20"/>
        </w:rPr>
        <w:t/>
      </w:r>
    </w:p>
    <w:p>
      <w:pPr>
        <w:pStyle w:val="ab"/>
      </w:pPr>
      <w:r>
        <w:t>对于国内外新进入的电子厂项目，公司是否有所参与？</w:t>
      </w:r>
    </w:p>
    <w:p>
      <w:r>
        <w:rPr>
          <w:rFonts w:ascii="等线(中文正文)" w:hAnsi="等线(中文正文)" w:cs="等线(中文正文)" w:eastAsia="等线(中文正文)"/>
          <w:b w:val="false"/>
          <w:i w:val="false"/>
          <w:sz w:val="20"/>
        </w:rPr>
        <w:t>发言人1：公司今年在海外业务上取得突破，除了东南亚外，还与日韩等地的客户签订了大单，并获得了设备订单。</w:t>
      </w:r>
    </w:p>
    <w:p>
      <w:r>
        <w:rPr>
          <w:rFonts w:ascii="等线(中文正文)" w:hAnsi="等线(中文正文)" w:cs="等线(中文正文)" w:eastAsia="等线(中文正文)"/>
          <w:b w:val="false"/>
          <w:i w:val="false"/>
          <w:sz w:val="20"/>
        </w:rPr>
        <w:t/>
      </w:r>
    </w:p>
    <w:p>
      <w:pPr>
        <w:pStyle w:val="ab"/>
      </w:pPr>
      <w:r>
        <w:t>今年电池扩产增速以及未来几年的整体增速如何？</w:t>
      </w:r>
    </w:p>
    <w:p>
      <w:r>
        <w:rPr>
          <w:rFonts w:ascii="等线(中文正文)" w:hAnsi="等线(中文正文)" w:cs="等线(中文正文)" w:eastAsia="等线(中文正文)"/>
          <w:b w:val="false"/>
          <w:i w:val="false"/>
          <w:sz w:val="20"/>
        </w:rPr>
        <w:t>发言人1：客户对储能需求在未来几年甚至更长的时间内将持续推动锂电设备的扩展需求。目前公司聚焦的动力和传统配套设备需求增长强劲，同时北美地区数据中心配置需求也在逐渐释放，这表明未来几年设备整体增速仍有较大提升空间，今年并非扩产高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2026-04-28T14:59:50Z</dcterms:created>
  <dc:creator>Apache POI</dc:creator>
</cp:coreProperties>
</file>