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中金公司 - 联合解读政治局会议 260428_导读</w:t>
      </w:r>
    </w:p>
    <w:p>
      <w:pPr>
        <w:pStyle w:val="a0"/>
        <w:jc w:val="center"/>
      </w:pPr>
      <w:r>
        <w:t>2026年04月28日 22:43</w:t>
      </w:r>
    </w:p>
    <w:p>
      <w:pPr>
        <w:pStyle w:val="a7"/>
      </w:pPr>
      <w:r>
        <w:t>关键词</w:t>
      </w:r>
    </w:p>
    <w:p>
      <w:r>
        <w:rPr>
          <w:rFonts w:ascii="等线(中文正文)" w:hAnsi="等线(中文正文)" w:cs="等线(中文正文)" w:eastAsia="等线(中文正文)"/>
          <w:b w:val="false"/>
          <w:i w:val="false"/>
          <w:sz w:val="20"/>
        </w:rPr>
        <w:t xml:space="preserve">精准有效 稳中求进 能源安全 财政政策 货币政策 内需 制造业 房地产 资本市场 人民币汇率 科技创新 民生保障 新型电网 算力网 光通信 新能源 电网建设 降准降息 债券 长端利率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金公司组织的联合解读电话会议深入分析了最新政治局会议内容，专家们从多个角度探讨了其对经济、行业和市场的潜在影响。会议强调了政府稳中求进的经济发展策略，聚焦于精准有效的政策实施、能源安全、房地产市场稳定、内需扩大、科技创新、互联网监管、农业稳定等方面。专家们提出，政治局会议对各领域的影响深远，预示着政府促进经济平衡、高质量发展的决心及应对国内外挑战、推动结构性改革的策略。整体来看，会议反映了政府在当前复杂环境下，持续优化经济结构，提升发展质量的坚定立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政治局会议解读：精准有效政策与经济稳中求进</w:t>
      </w:r>
    </w:p>
    <w:p>
      <w:r>
        <w:rPr>
          <w:rFonts w:ascii="等线(中文正文)" w:hAnsi="等线(中文正文)" w:cs="等线(中文正文)" w:eastAsia="等线(中文正文)"/>
          <w:b w:val="false"/>
          <w:i w:val="false"/>
          <w:sz w:val="20"/>
        </w:rPr>
        <w:t>会议强调了精准有效的政策实施，特别是在财政和货币政策方面，以促进经济稳中求进。一季度经济表现良好，但面临房地产未企稳和下行压力等挑战。未来政策将更注重民生保障、科技创新和重大工程项目，同时保持对长期增长可持续性的关注。</w:t>
      </w:r>
    </w:p>
    <w:p>
      <w:r>
        <w:rPr>
          <w:rFonts w:ascii="等线(中文正文)" w:hAnsi="等线(中文正文)" w:cs="等线(中文正文)" w:eastAsia="等线(中文正文)"/>
          <w:b w:val="false"/>
          <w:i w:val="false"/>
          <w:sz w:val="20"/>
        </w:rPr>
        <w:t/>
      </w:r>
    </w:p>
    <w:p>
      <w:pPr>
        <w:pStyle w:val="ab"/>
        <w:numPr>
          <w:numId w:val="2"/>
        </w:numPr>
      </w:pPr>
      <w:r>
        <w:t>04:49 财政灵活性与能源安全：政策新动向解析</w:t>
      </w:r>
    </w:p>
    <w:p>
      <w:r>
        <w:rPr>
          <w:rFonts w:ascii="等线(中文正文)" w:hAnsi="等线(中文正文)" w:cs="等线(中文正文)" w:eastAsia="等线(中文正文)"/>
          <w:b w:val="false"/>
          <w:i w:val="false"/>
          <w:sz w:val="20"/>
        </w:rPr>
        <w:t>讨论聚焦于财政政策的灵活性与能源安全的重要性。财政方面，强调货币市场灵活性与货币政策结构性工具的运用，旨在优化结构并扩大优质消费供给，特别是在服务业领域。投资重点转向水网、新型电网等基础设施。科技产业政策持续重视，尤其关注制造业比重与人工智能发展。鉴于地缘冲突加剧，会议提出系统应对外部冲击，提升能源安全，包括扩大再生能源供给、提高化石能源利用效率及增强能源传输效率。房地产市场稳定被提及，一线城市回暖迹象显现，但二三线城市仍需时间调整。总体策略延续精准有效、结构优化的原则，新增能源安全议题。</w:t>
      </w:r>
    </w:p>
    <w:p>
      <w:r>
        <w:rPr>
          <w:rFonts w:ascii="等线(中文正文)" w:hAnsi="等线(中文正文)" w:cs="等线(中文正文)" w:eastAsia="等线(中文正文)"/>
          <w:b w:val="false"/>
          <w:i w:val="false"/>
          <w:sz w:val="20"/>
        </w:rPr>
        <w:t/>
      </w:r>
    </w:p>
    <w:p>
      <w:pPr>
        <w:pStyle w:val="ab"/>
        <w:numPr>
          <w:numId w:val="3"/>
        </w:numPr>
      </w:pPr>
      <w:r>
        <w:t>08:58 政治局会议对资本市场的政策解读与市场展望</w:t>
      </w:r>
    </w:p>
    <w:p>
      <w:r>
        <w:rPr>
          <w:rFonts w:ascii="等线(中文正文)" w:hAnsi="等线(中文正文)" w:cs="等线(中文正文)" w:eastAsia="等线(中文正文)"/>
          <w:b w:val="false"/>
          <w:i w:val="false"/>
          <w:sz w:val="20"/>
        </w:rPr>
        <w:t>讨论了政治局会议中关于稳定和增强资本市场信心的政策信号，以及对成长和周期行业的结构性配置策略。会议提出加强基础设施建设，利好基建和制造业投资，同时强调了外部环境和内部产业景气对市场的影响。尽管存在不确定性，但A股中期震荡上行的行情预计将持续，重点推荐光通信、新能源储能、创新药及电网建设等领域。</w:t>
      </w:r>
    </w:p>
    <w:p>
      <w:r>
        <w:rPr>
          <w:rFonts w:ascii="等线(中文正文)" w:hAnsi="等线(中文正文)" w:cs="等线(中文正文)" w:eastAsia="等线(中文正文)"/>
          <w:b w:val="false"/>
          <w:i w:val="false"/>
          <w:sz w:val="20"/>
        </w:rPr>
        <w:t/>
      </w:r>
    </w:p>
    <w:p>
      <w:pPr>
        <w:pStyle w:val="ab"/>
        <w:numPr>
          <w:numId w:val="4"/>
        </w:numPr>
      </w:pPr>
      <w:r>
        <w:t>13:54 货币政策展望与债券市场机会</w:t>
      </w:r>
    </w:p>
    <w:p>
      <w:r>
        <w:rPr>
          <w:rFonts w:ascii="等线(中文正文)" w:hAnsi="等线(中文正文)" w:cs="等线(中文正文)" w:eastAsia="等线(中文正文)"/>
          <w:b w:val="false"/>
          <w:i w:val="false"/>
          <w:sz w:val="20"/>
        </w:rPr>
        <w:t>会议未提及降准降息，但强调货币政策需精准有效，增强前瞻性、灵活性和针对性。鉴于中东地缘冲突影响，未来货币政策放松可能加速，保持人民币汇率稳定需维持宽松状态。预计二季度央行可能降准降息，流动性宽松利于债券市场，尤其是长端利率下行，建议投资者关注交易机会。</w:t>
      </w:r>
    </w:p>
    <w:p>
      <w:r>
        <w:rPr>
          <w:rFonts w:ascii="等线(中文正文)" w:hAnsi="等线(中文正文)" w:cs="等线(中文正文)" w:eastAsia="等线(中文正文)"/>
          <w:b w:val="false"/>
          <w:i w:val="false"/>
          <w:sz w:val="20"/>
        </w:rPr>
        <w:t/>
      </w:r>
    </w:p>
    <w:p>
      <w:pPr>
        <w:pStyle w:val="ab"/>
        <w:numPr>
          <w:numId w:val="5"/>
        </w:numPr>
      </w:pPr>
      <w:r>
        <w:t>16:15 政治局会议对房地产市场影响分析</w:t>
      </w:r>
    </w:p>
    <w:p>
      <w:r>
        <w:rPr>
          <w:rFonts w:ascii="等线(中文正文)" w:hAnsi="等线(中文正文)" w:cs="等线(中文正文)" w:eastAsia="等线(中文正文)"/>
          <w:b w:val="false"/>
          <w:i w:val="false"/>
          <w:sz w:val="20"/>
        </w:rPr>
        <w:t>会议提出稳定房地产市场和推进城市更新，北京上海房价趋稳迹象明显，预期观望需求将逐步释放，地产板块行情看好。分析认为，政策延续性加强市场局部趋稳，城市更新为中长期策略，短期需求增长依赖房价预期稳定和观望需求释放。</w:t>
      </w:r>
    </w:p>
    <w:p>
      <w:r>
        <w:rPr>
          <w:rFonts w:ascii="等线(中文正文)" w:hAnsi="等线(中文正文)" w:cs="等线(中文正文)" w:eastAsia="等线(中文正文)"/>
          <w:b w:val="false"/>
          <w:i w:val="false"/>
          <w:sz w:val="20"/>
        </w:rPr>
        <w:t/>
      </w:r>
    </w:p>
    <w:p>
      <w:pPr>
        <w:pStyle w:val="ab"/>
        <w:numPr>
          <w:numId w:val="6"/>
        </w:numPr>
      </w:pPr>
      <w:r>
        <w:t>21:03 化工行业产能增长受限与周期复苏展望</w:t>
      </w:r>
    </w:p>
    <w:p>
      <w:r>
        <w:rPr>
          <w:rFonts w:ascii="等线(中文正文)" w:hAnsi="等线(中文正文)" w:cs="等线(中文正文)" w:eastAsia="等线(中文正文)"/>
          <w:b w:val="false"/>
          <w:i w:val="false"/>
          <w:sz w:val="20"/>
        </w:rPr>
        <w:t>中央政策对化工行业新产能增长提出严格限制，包括节能审查和碳排放评价等措施，导致行业竞争加剧和下行周期。然而，随着海外落后产能退出及全球需求增长，预计15期间化工行业将逐步复苏。短期内，原料供应短缺引发化工品价格快速上涨，支撑企业盈利，但长期需关注政策影响及市场供需变化。</w:t>
      </w:r>
    </w:p>
    <w:p>
      <w:r>
        <w:rPr>
          <w:rFonts w:ascii="等线(中文正文)" w:hAnsi="等线(中文正文)" w:cs="等线(中文正文)" w:eastAsia="等线(中文正文)"/>
          <w:b w:val="false"/>
          <w:i w:val="false"/>
          <w:sz w:val="20"/>
        </w:rPr>
        <w:t/>
      </w:r>
    </w:p>
    <w:p>
      <w:pPr>
        <w:pStyle w:val="ab"/>
        <w:numPr>
          <w:numId w:val="7"/>
        </w:numPr>
      </w:pPr>
      <w:r>
        <w:t>26:05 化工与大宗商品市场政策解读及趋势分析</w:t>
      </w:r>
    </w:p>
    <w:p>
      <w:r>
        <w:rPr>
          <w:rFonts w:ascii="等线(中文正文)" w:hAnsi="等线(中文正文)" w:cs="等线(中文正文)" w:eastAsia="等线(中文正文)"/>
          <w:b w:val="false"/>
          <w:i w:val="false"/>
          <w:sz w:val="20"/>
        </w:rPr>
        <w:t>对话深入解析了化工行业周期复苏逻辑未变，强调了大宗市场的三大政策信号：能源重保障、工业品反内卷、生猪稳价格，分别对应安全、供给、民生。讨论了能源体系韧性、工业品产能治理转型以及生猪价格稳定策略，预测未来市场趋势及政策影响。</w:t>
      </w:r>
    </w:p>
    <w:p>
      <w:r>
        <w:rPr>
          <w:rFonts w:ascii="等线(中文正文)" w:hAnsi="等线(中文正文)" w:cs="等线(中文正文)" w:eastAsia="等线(中文正文)"/>
          <w:b w:val="false"/>
          <w:i w:val="false"/>
          <w:sz w:val="20"/>
        </w:rPr>
        <w:t/>
      </w:r>
    </w:p>
    <w:p>
      <w:pPr>
        <w:pStyle w:val="ab"/>
        <w:numPr>
          <w:numId w:val="8"/>
        </w:numPr>
      </w:pPr>
      <w:r>
        <w:t>31:54 服务消费政策路径与旅游酒店行业机会分析</w:t>
      </w:r>
    </w:p>
    <w:p>
      <w:r>
        <w:rPr>
          <w:rFonts w:ascii="等线(中文正文)" w:hAnsi="等线(中文正文)" w:cs="等线(中文正文)" w:eastAsia="等线(中文正文)"/>
          <w:b w:val="false"/>
          <w:i w:val="false"/>
          <w:sz w:val="20"/>
        </w:rPr>
        <w:t>对话围绕服务消费政策路径展开，指出政策将侧重供给优化和长效机制建设，包括完善休假制度、放宽入境游限制、培育新供给增长点等。同时，预计地方政府将因地制宜发放消费补贴，中央补贴聚焦刚需群体，强化民生保障。旅游酒店行业有望从中受益，特别是在入境游增长和服务供给创新方面。</w:t>
      </w:r>
    </w:p>
    <w:p>
      <w:r>
        <w:rPr>
          <w:rFonts w:ascii="等线(中文正文)" w:hAnsi="等线(中文正文)" w:cs="等线(中文正文)" w:eastAsia="等线(中文正文)"/>
          <w:b w:val="false"/>
          <w:i w:val="false"/>
          <w:sz w:val="20"/>
        </w:rPr>
        <w:t/>
      </w:r>
    </w:p>
    <w:p>
      <w:pPr>
        <w:pStyle w:val="ab"/>
        <w:numPr>
          <w:numId w:val="9"/>
        </w:numPr>
      </w:pPr>
      <w:r>
        <w:t>35:53 政策红利下的行业受益与投资机会</w:t>
      </w:r>
    </w:p>
    <w:p>
      <w:r>
        <w:rPr>
          <w:rFonts w:ascii="等线(中文正文)" w:hAnsi="等线(中文正文)" w:cs="等线(中文正文)" w:eastAsia="等线(中文正文)"/>
          <w:b w:val="false"/>
          <w:i w:val="false"/>
          <w:sz w:val="20"/>
        </w:rPr>
        <w:t>对话探讨了政策路径对商旅文体健融合、免税、养老托育等行业的推动作用，指出短期平台型企业受益于流量入口优势，中长期优质实体企业因稀缺优质供给持续获益，连锁企业因高质量供给和响应速度更受青睐，建议关注社服行业优质企业如亚朵、华住等在低估值下的配置机会。</w:t>
      </w:r>
    </w:p>
    <w:p>
      <w:r>
        <w:rPr>
          <w:rFonts w:ascii="等线(中文正文)" w:hAnsi="等线(中文正文)" w:cs="等线(中文正文)" w:eastAsia="等线(中文正文)"/>
          <w:b w:val="false"/>
          <w:i w:val="false"/>
          <w:sz w:val="20"/>
        </w:rPr>
        <w:t/>
      </w:r>
    </w:p>
    <w:p>
      <w:pPr>
        <w:pStyle w:val="ab"/>
        <w:numPr>
          <w:numId w:val="10"/>
        </w:numPr>
      </w:pPr>
      <w:r>
        <w:t>38:42 科技自立自强与AI算力产业链发展</w:t>
      </w:r>
    </w:p>
    <w:p>
      <w:r>
        <w:rPr>
          <w:rFonts w:ascii="等线(中文正文)" w:hAnsi="等线(中文正文)" w:cs="等线(中文正文)" w:eastAsia="等线(中文正文)"/>
          <w:b w:val="false"/>
          <w:i w:val="false"/>
          <w:sz w:val="20"/>
        </w:rPr>
        <w:t>对话围绕科技自立自强和产业链自主可控的重要性展开，强调了AI算力在推动经济发展和保障国家数字安全中的核心作用。面对全球科技革命与产业变革，AI算力的国产化被视为破解技术瓶颈的关键。在需求与供给端的共同推动下，2020年国产AI算力硬件产业链有望迎来黄金发展期，成为十五规划纲要科技篇的重要受益者。</w:t>
      </w:r>
    </w:p>
    <w:p>
      <w:r>
        <w:rPr>
          <w:rFonts w:ascii="等线(中文正文)" w:hAnsi="等线(中文正文)" w:cs="等线(中文正文)" w:eastAsia="等线(中文正文)"/>
          <w:b w:val="false"/>
          <w:i w:val="false"/>
          <w:sz w:val="20"/>
        </w:rPr>
        <w:t/>
      </w:r>
    </w:p>
    <w:p>
      <w:pPr>
        <w:pStyle w:val="ab"/>
        <w:numPr>
          <w:numId w:val="11"/>
        </w:numPr>
      </w:pPr>
      <w:r>
        <w:t>40:18 国产AI算力产业链需求与供给端分析</w:t>
      </w:r>
    </w:p>
    <w:p>
      <w:r>
        <w:rPr>
          <w:rFonts w:ascii="等线(中文正文)" w:hAnsi="等线(中文正文)" w:cs="等线(中文正文)" w:eastAsia="等线(中文正文)"/>
          <w:b w:val="false"/>
          <w:i w:val="false"/>
          <w:sz w:val="20"/>
        </w:rPr>
        <w:t>对话讨论了中国AI算力产业链的发展，从需求端看，AI大模型与应用普及推动云端硬件市场快速增长，端侧AI硬件需求因政策与技术进步得到强化。供给端，AI芯片、服务器集群技术缩小与海外差距，算力网络规划清晰，产业链布局完备，新技术传导至硬件规格升级，形成快速响应与大规模扩展。近期DPCV4发布消除模型适配隔阂，增强中国AI硬件落地确定性。尽管存在晶圆代工产能担忧，但芯片厂商一季报显示积极变化，产业链各环节产能配套增长，预示国产AI算力产业链在供需双轮驱动下有望持续发展。</w:t>
      </w:r>
    </w:p>
    <w:p>
      <w:r>
        <w:rPr>
          <w:rFonts w:ascii="等线(中文正文)" w:hAnsi="等线(中文正文)" w:cs="等线(中文正文)" w:eastAsia="等线(中文正文)"/>
          <w:b w:val="false"/>
          <w:i w:val="false"/>
          <w:sz w:val="20"/>
        </w:rPr>
        <w:t/>
      </w:r>
    </w:p>
    <w:p>
      <w:pPr>
        <w:pStyle w:val="ab"/>
        <w:numPr>
          <w:numId w:val="12"/>
        </w:numPr>
      </w:pPr>
      <w:r>
        <w:t>44:40 互联网行业消费与科技属性解读</w:t>
      </w:r>
    </w:p>
    <w:p>
      <w:r>
        <w:rPr>
          <w:rFonts w:ascii="等线(中文正文)" w:hAnsi="等线(中文正文)" w:cs="等线(中文正文)" w:eastAsia="等线(中文正文)"/>
          <w:b w:val="false"/>
          <w:i w:val="false"/>
          <w:sz w:val="20"/>
        </w:rPr>
        <w:t>对话围绕互联网行业的消费和科技属性，解读了中央政治局会议内容，强调政策引导平台从需求侧转向供给侧的质量重构，推动消费升级和优质供给。会议还提出深入整治不正当竞争，鼓励行业创新和提效，同时推动科技自立自强，实施人工智能加行动，发展智能经济新形态。分析认为，未来物价温和上涨可能提升互联网行业业绩弹性，而AI投入需客观看待，寻找中长期投资机会。</w:t>
      </w:r>
    </w:p>
    <w:p>
      <w:r>
        <w:rPr>
          <w:rFonts w:ascii="等线(中文正文)" w:hAnsi="等线(中文正文)" w:cs="等线(中文正文)" w:eastAsia="等线(中文正文)"/>
          <w:b w:val="false"/>
          <w:i w:val="false"/>
          <w:sz w:val="20"/>
        </w:rPr>
        <w:t/>
      </w:r>
    </w:p>
    <w:p>
      <w:pPr>
        <w:pStyle w:val="ab"/>
        <w:numPr>
          <w:numId w:val="13"/>
        </w:numPr>
      </w:pPr>
      <w:r>
        <w:t>48:49 农业板块观点：猪价回暖趋势与龙头公司投资价值</w:t>
      </w:r>
    </w:p>
    <w:p>
      <w:r>
        <w:rPr>
          <w:rFonts w:ascii="等线(中文正文)" w:hAnsi="等线(中文正文)" w:cs="等线(中文正文)" w:eastAsia="等线(中文正文)"/>
          <w:b w:val="false"/>
          <w:i w:val="false"/>
          <w:sz w:val="20"/>
        </w:rPr>
        <w:t>本次中央政治局会议明确提出抓好农业生产，稳定生猪价格。分析指出，猪业新范式开启，猪价波动将趋于平稳，短期供应压力预计在5月后缓解，预示猪价低点已过，有望逐步回升。投资层面看好具备成本优势和规模效应的龙头企业，如牧原股份，其成本持续下降，屠宰量和盈利能力提升，重资产投入进入回报期，现金流创造能力增强，看好其长期投资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主持的电话会议中，详细解读了中央政治局会议要点及其对各行业的影响。会议强调了精准有效的政策实施，包括积极财政政策和适度宽松货币政策，旨在应对经济下行压力，特别关注房地产市场稳定与能源安全。讨论覆盖农业、科技硬件、互联网、旅游酒店等行业，强调政策对科技创新、产业结构优化、消费升级和市场预期稳定的作用。此外，特别关注农业板块，强调稳定农产品价格的重要性。他鼓励投资者关注结构性机遇，看好兼具成长与价值属性的龙头企业，为投资者提供了深入的行业分析和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问：政治局会议对宏观经济政策的总体要求是什么？</w:t>
      </w:r>
    </w:p>
    <w:p>
      <w:r>
        <w:rPr>
          <w:rFonts w:ascii="等线(中文正文)" w:hAnsi="等线(中文正文)" w:cs="等线(中文正文)" w:eastAsia="等线(中文正文)"/>
          <w:b w:val="false"/>
          <w:i w:val="false"/>
          <w:sz w:val="20"/>
        </w:rPr>
        <w:t>发言人1 答：政治局会议强调了精准有效和稳中求进的经济政策基调，延续了政府工作报告和去年中央经济工作会议的精神，并针对当前形势提出了一些新的要点，如对能源安全的重视。</w:t>
      </w:r>
    </w:p>
    <w:p>
      <w:r>
        <w:rPr>
          <w:rFonts w:ascii="等线(中文正文)" w:hAnsi="等线(中文正文)" w:cs="等线(中文正文)" w:eastAsia="等线(中文正文)"/>
          <w:b w:val="false"/>
          <w:i w:val="false"/>
          <w:sz w:val="20"/>
        </w:rPr>
        <w:t/>
      </w:r>
    </w:p>
    <w:p>
      <w:pPr>
        <w:pStyle w:val="ab"/>
      </w:pPr>
      <w:r>
        <w:t>发言人1 问：对于房地产市场的政策取向，政治局会议有何表述？</w:t>
      </w:r>
    </w:p>
    <w:p>
      <w:r>
        <w:rPr>
          <w:rFonts w:ascii="等线(中文正文)" w:hAnsi="等线(中文正文)" w:cs="等线(中文正文)" w:eastAsia="等线(中文正文)"/>
          <w:b w:val="false"/>
          <w:i w:val="false"/>
          <w:sz w:val="20"/>
        </w:rPr>
        <w:t>发言人1 答：会议强调努力稳定房地产市场，尤其是在一线城市房产回暖现象出现的同时，也关注二三线城市的市场状况。此外，还提到了政府债务和化解拖欠工程款等问题，显示出对防范化解风险的重视。</w:t>
      </w:r>
    </w:p>
    <w:p>
      <w:r>
        <w:rPr>
          <w:rFonts w:ascii="等线(中文正文)" w:hAnsi="等线(中文正文)" w:cs="等线(中文正文)" w:eastAsia="等线(中文正文)"/>
          <w:b w:val="false"/>
          <w:i w:val="false"/>
          <w:sz w:val="20"/>
        </w:rPr>
        <w:t/>
      </w:r>
    </w:p>
    <w:p>
      <w:pPr>
        <w:pStyle w:val="ab"/>
      </w:pPr>
      <w:r>
        <w:t>发言人1 问：在财政政策和货币政策上，政治局会议有哪些具体要求？</w:t>
      </w:r>
    </w:p>
    <w:p>
      <w:r>
        <w:rPr>
          <w:rFonts w:ascii="等线(中文正文)" w:hAnsi="等线(中文正文)" w:cs="等线(中文正文)" w:eastAsia="等线(中文正文)"/>
          <w:b w:val="false"/>
          <w:i w:val="false"/>
          <w:sz w:val="20"/>
        </w:rPr>
        <w:t>发言人1 答：财政政策方面，会议要求精准有效实施更加积极的财政政策，持续优化财政支出结构，优先保障民生保障、科技创新等领域投入，并强调重大工程项目开工和推进。货币政策方面，会议体现了灵活性，强调前瞻性、针对性、有效性及灵活适度，注重结构性工具和金融工具的应用。</w:t>
      </w:r>
    </w:p>
    <w:p>
      <w:r>
        <w:rPr>
          <w:rFonts w:ascii="等线(中文正文)" w:hAnsi="等线(中文正文)" w:cs="等线(中文正文)" w:eastAsia="等线(中文正文)"/>
          <w:b w:val="false"/>
          <w:i w:val="false"/>
          <w:sz w:val="20"/>
        </w:rPr>
        <w:t/>
      </w:r>
    </w:p>
    <w:p>
      <w:pPr>
        <w:pStyle w:val="ab"/>
      </w:pPr>
      <w:r>
        <w:t>发言人1 问：政治局会议对内需和投资方向有何重点提及？</w:t>
      </w:r>
    </w:p>
    <w:p>
      <w:r>
        <w:rPr>
          <w:rFonts w:ascii="等线(中文正文)" w:hAnsi="等线(中文正文)" w:cs="等线(中文正文)" w:eastAsia="等线(中文正文)"/>
          <w:b w:val="false"/>
          <w:i w:val="false"/>
          <w:sz w:val="20"/>
        </w:rPr>
        <w:t>发言人1 答：会议强调扩大优质消费供给，优化供给侧结构，尤其是服务业如住宿餐饮、养老托幼、医疗健康等行业。同时，投资方面将重点放在新型基础设施建设，比如水网、新型电网、算力网等。</w:t>
      </w:r>
    </w:p>
    <w:p>
      <w:r>
        <w:rPr>
          <w:rFonts w:ascii="等线(中文正文)" w:hAnsi="等线(中文正文)" w:cs="等线(中文正文)" w:eastAsia="等线(中文正文)"/>
          <w:b w:val="false"/>
          <w:i w:val="false"/>
          <w:sz w:val="20"/>
        </w:rPr>
        <w:t/>
      </w:r>
    </w:p>
    <w:p>
      <w:pPr>
        <w:pStyle w:val="ab"/>
      </w:pPr>
      <w:r>
        <w:t>发言人1 问：对于科技产业政策，政治局会议有何新的部署？</w:t>
      </w:r>
    </w:p>
    <w:p>
      <w:r>
        <w:rPr>
          <w:rFonts w:ascii="等线(中文正文)" w:hAnsi="等线(中文正文)" w:cs="等线(中文正文)" w:eastAsia="等线(中文正文)"/>
          <w:b w:val="false"/>
          <w:i w:val="false"/>
          <w:sz w:val="20"/>
        </w:rPr>
        <w:t>发言人1 答：会议提出加快落实政府工作报告和“十四五”规划纲要的相关要求，保持制造业合理比重，深化国资国企改革，并特别强调了人工智能领域和科技产业政策的重要性。</w:t>
      </w:r>
    </w:p>
    <w:p>
      <w:r>
        <w:rPr>
          <w:rFonts w:ascii="等线(中文正文)" w:hAnsi="等线(中文正文)" w:cs="等线(中文正文)" w:eastAsia="等线(中文正文)"/>
          <w:b w:val="false"/>
          <w:i w:val="false"/>
          <w:sz w:val="20"/>
        </w:rPr>
        <w:t/>
      </w:r>
    </w:p>
    <w:p>
      <w:pPr>
        <w:pStyle w:val="ab"/>
      </w:pPr>
      <w:r>
        <w:t>发言人1 问：会议对于地缘冲突背景下能源安全问题有何应对措施？</w:t>
      </w:r>
    </w:p>
    <w:p>
      <w:r>
        <w:rPr>
          <w:rFonts w:ascii="等线(中文正文)" w:hAnsi="等线(中文正文)" w:cs="等线(中文正文)" w:eastAsia="等线(中文正文)"/>
          <w:b w:val="false"/>
          <w:i w:val="false"/>
          <w:sz w:val="20"/>
        </w:rPr>
        <w:t>发言人1 答：会议提出系统应对外部冲击挑战，提高能源质量安全保障水平，具体措施包括扩大可再生能源供给，提升化石能源清洁高效利用水平，以及提高能源传输效率，如加快新型电网建设、完善储能和充电设施，并运用人工智能赋能电网数字化转型。</w:t>
      </w:r>
    </w:p>
    <w:p>
      <w:r>
        <w:rPr>
          <w:rFonts w:ascii="等线(中文正文)" w:hAnsi="等线(中文正文)" w:cs="等线(中文正文)" w:eastAsia="等线(中文正文)"/>
          <w:b w:val="false"/>
          <w:i w:val="false"/>
          <w:sz w:val="20"/>
        </w:rPr>
        <w:t/>
      </w:r>
    </w:p>
    <w:p>
      <w:pPr>
        <w:pStyle w:val="ab"/>
      </w:pPr>
      <w:r>
        <w:t>发言人1 问：政治局会议对于资本市场信心有何影响？</w:t>
      </w:r>
    </w:p>
    <w:p>
      <w:r>
        <w:rPr>
          <w:rFonts w:ascii="等线(中文正文)" w:hAnsi="等线(中文正文)" w:cs="等线(中文正文)" w:eastAsia="等线(中文正文)"/>
          <w:b w:val="false"/>
          <w:i w:val="false"/>
          <w:sz w:val="20"/>
        </w:rPr>
        <w:t>发言人1 答：会议直接提到要稳定和增强资本市场信心，这是对近期资本市场表现的一种积极回应，有助于提升投资者信心。同时，会议还重申了积极财政政策、适度宽松货币政策等宏观政策取向，以及提及的六大新基建领域，这些都有利于资本市场稳定和增强信心。</w:t>
      </w:r>
    </w:p>
    <w:p>
      <w:r>
        <w:rPr>
          <w:rFonts w:ascii="等线(中文正文)" w:hAnsi="等线(中文正文)" w:cs="等线(中文正文)" w:eastAsia="等线(中文正文)"/>
          <w:b w:val="false"/>
          <w:i w:val="false"/>
          <w:sz w:val="20"/>
        </w:rPr>
        <w:t/>
      </w:r>
    </w:p>
    <w:p>
      <w:pPr>
        <w:pStyle w:val="ab"/>
      </w:pPr>
      <w:r>
        <w:t>发言人1 问：从市场整体来看，投资者对当前稳增长政策的关注度如何？是否会有超预期发力的可能性？目前影响短线资产价格的主要因素是什么？</w:t>
      </w:r>
    </w:p>
    <w:p>
      <w:r>
        <w:rPr>
          <w:rFonts w:ascii="等线(中文正文)" w:hAnsi="等线(中文正文)" w:cs="等线(中文正文)" w:eastAsia="等线(中文正文)"/>
          <w:b w:val="false"/>
          <w:i w:val="false"/>
          <w:sz w:val="20"/>
        </w:rPr>
        <w:t>发言人1 答：投资者今年前四个月对政策的关注度与去年下半年相似，稳增长政策重心仍在“稳”字上，不追求强刺激。因此，在当前时间点，市场普遍认为超预期发力的可能性不大。目前影响短线资产价格的主要因素是外部环境和内部产业景气。外部环境方面，市场出现短期脱敏现象，但后续风险仍存在不确定性；内部产业方面，最近年报和一季报集中披露，部分行业的预期有所反复，但景气行业的基本面总体尚可。</w:t>
      </w:r>
    </w:p>
    <w:p>
      <w:r>
        <w:rPr>
          <w:rFonts w:ascii="等线(中文正文)" w:hAnsi="等线(中文正文)" w:cs="等线(中文正文)" w:eastAsia="等线(中文正文)"/>
          <w:b w:val="false"/>
          <w:i w:val="false"/>
          <w:sz w:val="20"/>
        </w:rPr>
        <w:t/>
      </w:r>
    </w:p>
    <w:p>
      <w:pPr>
        <w:pStyle w:val="ab"/>
      </w:pPr>
      <w:r>
        <w:t>发言人1 问：对于A股中期走势有何看法？</w:t>
      </w:r>
    </w:p>
    <w:p>
      <w:r>
        <w:rPr>
          <w:rFonts w:ascii="等线(中文正文)" w:hAnsi="等线(中文正文)" w:cs="等线(中文正文)" w:eastAsia="等线(中文正文)"/>
          <w:b w:val="false"/>
          <w:i w:val="false"/>
          <w:sz w:val="20"/>
        </w:rPr>
        <w:t>发言人1 答：尽管投资者风险偏好有所回转，但并非完全无忧虑。油价高位对上市公司盈利的影响仍是一个客观问题。从中期来看，A股的走势未发生变化，24年9月至今的震荡上行行情仍在延续。</w:t>
      </w:r>
    </w:p>
    <w:p>
      <w:r>
        <w:rPr>
          <w:rFonts w:ascii="等线(中文正文)" w:hAnsi="等线(中文正文)" w:cs="等线(中文正文)" w:eastAsia="等线(中文正文)"/>
          <w:b w:val="false"/>
          <w:i w:val="false"/>
          <w:sz w:val="20"/>
        </w:rPr>
        <w:t/>
      </w:r>
    </w:p>
    <w:p>
      <w:pPr>
        <w:pStyle w:val="ab"/>
      </w:pPr>
      <w:r>
        <w:t>发言人1 问：行业配置上有哪些推荐方向？</w:t>
      </w:r>
    </w:p>
    <w:p>
      <w:r>
        <w:rPr>
          <w:rFonts w:ascii="等线(中文正文)" w:hAnsi="等线(中文正文)" w:cs="等线(中文正文)" w:eastAsia="等线(中文正文)"/>
          <w:b w:val="false"/>
          <w:i w:val="false"/>
          <w:sz w:val="20"/>
        </w:rPr>
        <w:t>发言人1 答：行业配置上强调成长和周期两个方向，都需要精挑细选。今年业绩兑现的重要性高于去年。成长风格中首推光通信、新能源相关锂电储能以及创新药；周期风格中首推电网建设。</w:t>
      </w:r>
    </w:p>
    <w:p>
      <w:r>
        <w:rPr>
          <w:rFonts w:ascii="等线(中文正文)" w:hAnsi="等线(中文正文)" w:cs="等线(中文正文)" w:eastAsia="等线(中文正文)"/>
          <w:b w:val="false"/>
          <w:i w:val="false"/>
          <w:sz w:val="20"/>
        </w:rPr>
        <w:t/>
      </w:r>
    </w:p>
    <w:p>
      <w:pPr>
        <w:pStyle w:val="ab"/>
      </w:pPr>
      <w:r>
        <w:t>发言人1 问：对于固收策略的观点有哪些？</w:t>
      </w:r>
    </w:p>
    <w:p>
      <w:r>
        <w:rPr>
          <w:rFonts w:ascii="等线(中文正文)" w:hAnsi="等线(中文正文)" w:cs="等线(中文正文)" w:eastAsia="等线(中文正文)"/>
          <w:b w:val="false"/>
          <w:i w:val="false"/>
          <w:sz w:val="20"/>
        </w:rPr>
        <w:t>发言人1 答：会议没有提到降准降息，但货币政策需保持精准有效、前瞻灵活和针对性强，并结合地缘冲突影响可能加快放松节奏。同时强调保持人民币汇率在合理均衡水平上的稳定，预计后续货币政策将保持宽松状态，二季度央行降准降息可能性较大，对债券市场总体有利。</w:t>
      </w:r>
    </w:p>
    <w:p>
      <w:r>
        <w:rPr>
          <w:rFonts w:ascii="等线(中文正文)" w:hAnsi="等线(中文正文)" w:cs="等线(中文正文)" w:eastAsia="等线(中文正文)"/>
          <w:b w:val="false"/>
          <w:i w:val="false"/>
          <w:sz w:val="20"/>
        </w:rPr>
        <w:t/>
      </w:r>
    </w:p>
    <w:p>
      <w:pPr>
        <w:pStyle w:val="ab"/>
      </w:pPr>
      <w:r>
        <w:t>发言人1 问：对于地产行业的观点是什么？</w:t>
      </w:r>
    </w:p>
    <w:p>
      <w:r>
        <w:rPr>
          <w:rFonts w:ascii="等线(中文正文)" w:hAnsi="等线(中文正文)" w:cs="等线(中文正文)" w:eastAsia="等线(中文正文)"/>
          <w:b w:val="false"/>
          <w:i w:val="false"/>
          <w:sz w:val="20"/>
        </w:rPr>
        <w:t>发言人1 答：政治局会议提到努力稳定房地产市场，扎实推动城市更新。北上楼市拐点渐行渐近，北京和上海房价因供给侧出清而持续走稳，会议表态与去年相似，政策取态延续之前九字方针，有助于稳定房价预期，加强局部趋稳态势。对于地产板块，认为2026年行情将以修复为主，目前积极看多。</w:t>
      </w:r>
    </w:p>
    <w:p>
      <w:r>
        <w:rPr>
          <w:rFonts w:ascii="等线(中文正文)" w:hAnsi="等线(中文正文)" w:cs="等线(中文正文)" w:eastAsia="等线(中文正文)"/>
          <w:b w:val="false"/>
          <w:i w:val="false"/>
          <w:sz w:val="20"/>
        </w:rPr>
        <w:t/>
      </w:r>
    </w:p>
    <w:p>
      <w:pPr>
        <w:pStyle w:val="ab"/>
      </w:pPr>
      <w:r>
        <w:t>发言人1 问：关于油气化工行业的观点是什么？</w:t>
      </w:r>
    </w:p>
    <w:p>
      <w:r>
        <w:rPr>
          <w:rFonts w:ascii="等线(中文正文)" w:hAnsi="等线(中文正文)" w:cs="等线(中文正文)" w:eastAsia="等线(中文正文)"/>
          <w:b w:val="false"/>
          <w:i w:val="false"/>
          <w:sz w:val="20"/>
        </w:rPr>
        <w:t>发言人1 答：中央政治局会议提出纵深推进全国统一大市场建设，深入整治内卷式竞争，并在固定资产投资项目节能审查和碳排放评价方面加强约束，导致化工新上产能难度加大，尤其是对于重大项目节能审查权限上升至国家发改委层面。石化化工行业稳增长工作方案中严控新增炼油产能，合理确定乙烯、PX等新增产能规模，防范煤制甲醇行业产能过剩风险，这些都对化工产能增长形成明显约束。</w:t>
      </w:r>
    </w:p>
    <w:p>
      <w:r>
        <w:rPr>
          <w:rFonts w:ascii="等线(中文正文)" w:hAnsi="等线(中文正文)" w:cs="等线(中文正文)" w:eastAsia="等线(中文正文)"/>
          <w:b w:val="false"/>
          <w:i w:val="false"/>
          <w:sz w:val="20"/>
        </w:rPr>
        <w:t/>
      </w:r>
    </w:p>
    <w:p>
      <w:pPr>
        <w:pStyle w:val="ab"/>
      </w:pPr>
      <w:r>
        <w:t>发言人1 问：近期中共中央办公厅、国务院办公厅印发的碳达峰、碳中和综合评价考核办法的主要目的是什么？碳达峰、碳中和综合评价考核办法对化工行业有何影响？</w:t>
      </w:r>
    </w:p>
    <w:p>
      <w:r>
        <w:rPr>
          <w:rFonts w:ascii="等线(中文正文)" w:hAnsi="等线(中文正文)" w:cs="等线(中文正文)" w:eastAsia="等线(中文正文)"/>
          <w:b w:val="false"/>
          <w:i w:val="false"/>
          <w:sz w:val="20"/>
        </w:rPr>
        <w:t>发言人1 答：这个考核办法的主要目的是推动各省市落实碳排放总量和强度双控目标，具体包括碳排放总量、强度的降低，以及煤炭和石油消费总量的控制，并确保实现2030年碳排放强度比2025年降低65%以上，以及煤炭消费总量和石油消费总量的碳达峰目标。评价考核结果将作为地方政府领导干部综合考核评价和选拔任用的重要参考。对于化工行业而言，该考核办法提升了化工电站项目审批的难度，尤其是在“十四五”期间化工行业资本开支快速增长导致竞争加剧的背景下。自2022年下半年以来到2025年，整个行业处于下行周期，新上产能难度加大，产能增速确定性下降。同时，海外落后化工产能持续退出，加上需求端的持续增长，供给和需求两方面的变化使得15期间化工行业将迎来周期性复苏和逐步向上的阶段。</w:t>
      </w:r>
    </w:p>
    <w:p>
      <w:r>
        <w:rPr>
          <w:rFonts w:ascii="等线(中文正文)" w:hAnsi="等线(中文正文)" w:cs="等线(中文正文)" w:eastAsia="等线(中文正文)"/>
          <w:b w:val="false"/>
          <w:i w:val="false"/>
          <w:sz w:val="20"/>
        </w:rPr>
        <w:t/>
      </w:r>
    </w:p>
    <w:p>
      <w:pPr>
        <w:pStyle w:val="ab"/>
      </w:pPr>
      <w:r>
        <w:t>发言人1 问：当前化工行业的短期状况如何？</w:t>
      </w:r>
    </w:p>
    <w:p>
      <w:r>
        <w:rPr>
          <w:rFonts w:ascii="等线(中文正文)" w:hAnsi="等线(中文正文)" w:cs="等线(中文正文)" w:eastAsia="等线(中文正文)"/>
          <w:b w:val="false"/>
          <w:i w:val="false"/>
          <w:sz w:val="20"/>
        </w:rPr>
        <w:t>发言人1 答：由于霍尔木兹海峡石油输出下降，导致原油、天然气和液化石油气等原料供应短缺，加上部分地区的化工装置因原料供应紧张而降低负荷，中东地区装置受损原料供应问题也引发了停产减产。因此，自三月份以来，化工品因原料价格上涨和供应紧张而出现价格快速上涨。国内化工装置因供应链相对稳定，在3月和4月份实现了较好的盈利，但市场担忧这些高盈利状态的持续性。</w:t>
      </w:r>
    </w:p>
    <w:p>
      <w:r>
        <w:rPr>
          <w:rFonts w:ascii="等线(中文正文)" w:hAnsi="等线(中文正文)" w:cs="等线(中文正文)" w:eastAsia="等线(中文正文)"/>
          <w:b w:val="false"/>
          <w:i w:val="false"/>
          <w:sz w:val="20"/>
        </w:rPr>
        <w:t/>
      </w:r>
    </w:p>
    <w:p>
      <w:pPr>
        <w:pStyle w:val="ab"/>
      </w:pPr>
      <w:r>
        <w:t>发言人1 问：政治局会议对于大宗商品市场的三个政策信号是什么？</w:t>
      </w:r>
    </w:p>
    <w:p>
      <w:r>
        <w:rPr>
          <w:rFonts w:ascii="等线(中文正文)" w:hAnsi="等线(中文正文)" w:cs="等线(中文正文)" w:eastAsia="等线(中文正文)"/>
          <w:b w:val="false"/>
          <w:i w:val="false"/>
          <w:sz w:val="20"/>
        </w:rPr>
        <w:t>发言人1 答：政治局会议提出的三个政策信号分别是：能源方面的保障（应对地缘冲突带来的能源冲击），工业品方面的反内卷（减少过剩产能，优化行业结构），以及生猪稳价格（确保产业链稳定，防止价格大幅波动）。这三个主线分别对应安全、供给、民生这三个维度，构成了宏观政策在商品领域的核心框架。</w:t>
      </w:r>
    </w:p>
    <w:p>
      <w:r>
        <w:rPr>
          <w:rFonts w:ascii="等线(中文正文)" w:hAnsi="等线(中文正文)" w:cs="等线(中文正文)" w:eastAsia="等线(中文正文)"/>
          <w:b w:val="false"/>
          <w:i w:val="false"/>
          <w:sz w:val="20"/>
        </w:rPr>
        <w:t/>
      </w:r>
    </w:p>
    <w:p>
      <w:pPr>
        <w:pStyle w:val="ab"/>
      </w:pPr>
      <w:r>
        <w:t>发言人1 问：在能源方面，我国当前的能源体系韧性体现在哪些方面？</w:t>
      </w:r>
    </w:p>
    <w:p>
      <w:r>
        <w:rPr>
          <w:rFonts w:ascii="等线(中文正文)" w:hAnsi="等线(中文正文)" w:cs="等线(中文正文)" w:eastAsia="等线(中文正文)"/>
          <w:b w:val="false"/>
          <w:i w:val="false"/>
          <w:sz w:val="20"/>
        </w:rPr>
        <w:t>发言人1 答：我国能源体系韧性体现在两个层面：一是加工端灵活调节能力强，如炼油端通过预防式减产有效应对外部供给扰动，三月份主营电厂开工率保持稳健；二是进口来源端多元化，原油进口来源国从28个增加到49个，前五大来源国占比虽有所下降，但国内产量连续四年稳定在2亿吨以上，因此能够有效对冲单一地缘事件对供给端的系统性冲击。</w:t>
      </w:r>
    </w:p>
    <w:p>
      <w:r>
        <w:rPr>
          <w:rFonts w:ascii="等线(中文正文)" w:hAnsi="等线(中文正文)" w:cs="等线(中文正文)" w:eastAsia="等线(中文正文)"/>
          <w:b w:val="false"/>
          <w:i w:val="false"/>
          <w:sz w:val="20"/>
        </w:rPr>
        <w:t/>
      </w:r>
    </w:p>
    <w:p>
      <w:pPr>
        <w:pStyle w:val="ab"/>
      </w:pPr>
      <w:r>
        <w:t>发言人1 问：对于工业品市场，会议传达了哪些信号？</w:t>
      </w:r>
    </w:p>
    <w:p>
      <w:r>
        <w:rPr>
          <w:rFonts w:ascii="等线(中文正文)" w:hAnsi="等线(中文正文)" w:cs="等线(中文正文)" w:eastAsia="等线(中文正文)"/>
          <w:b w:val="false"/>
          <w:i w:val="false"/>
          <w:sz w:val="20"/>
        </w:rPr>
        <w:t>发言人1 答：工业品市场的政策信号主要集中在反内卷上，即通过产量调控和产能治理来改变过去过剩产能的局面。会议强调深入整治内卷式竞争，碳排放双控成为新的核心约束指标，尤其是新建高耗能项目需要实施碳排放等量或减量替代，这将重塑钢铁、铜冶炼等行业供给曲线，提升行业门槛，加速高碳低端产能出清，并可能长期改变行业的成本结构和竞争格局。</w:t>
      </w:r>
    </w:p>
    <w:p>
      <w:r>
        <w:rPr>
          <w:rFonts w:ascii="等线(中文正文)" w:hAnsi="等线(中文正文)" w:cs="等线(中文正文)" w:eastAsia="等线(中文正文)"/>
          <w:b w:val="false"/>
          <w:i w:val="false"/>
          <w:sz w:val="20"/>
        </w:rPr>
        <w:t/>
      </w:r>
    </w:p>
    <w:p>
      <w:pPr>
        <w:pStyle w:val="ab"/>
      </w:pPr>
      <w:r>
        <w:t>发言人1 问：关于生猪价格稳定，政策有何安排？</w:t>
      </w:r>
    </w:p>
    <w:p>
      <w:r>
        <w:rPr>
          <w:rFonts w:ascii="等线(中文正文)" w:hAnsi="等线(中文正文)" w:cs="等线(中文正文)" w:eastAsia="等线(中文正文)"/>
          <w:b w:val="false"/>
          <w:i w:val="false"/>
          <w:sz w:val="20"/>
        </w:rPr>
        <w:t>发言人1 答：政策提出要深入实施生猪稳产保供措施，防止产能过剩挤压利润，避免产能不足引发价格暴涨。目前能繁母猪存栏量已基本回归合理水平，但由于养殖效率提升，产能仍有小幅空间。预计年内猪价总体以稳定为主，下半年可能会回到成本线上，龙头企业将在年底恢复正常规律状态。</w:t>
      </w:r>
    </w:p>
    <w:p>
      <w:r>
        <w:rPr>
          <w:rFonts w:ascii="等线(中文正文)" w:hAnsi="等线(中文正文)" w:cs="等线(中文正文)" w:eastAsia="等线(中文正文)"/>
          <w:b w:val="false"/>
          <w:i w:val="false"/>
          <w:sz w:val="20"/>
        </w:rPr>
        <w:t/>
      </w:r>
    </w:p>
    <w:p>
      <w:pPr>
        <w:pStyle w:val="ab"/>
      </w:pPr>
      <w:r>
        <w:t>发言人1 问：服务消费可能会包括哪五条主要的政策路径？</w:t>
      </w:r>
    </w:p>
    <w:p>
      <w:r>
        <w:rPr>
          <w:rFonts w:ascii="等线(中文正文)" w:hAnsi="等线(中文正文)" w:cs="等线(中文正文)" w:eastAsia="等线(中文正文)"/>
          <w:b w:val="false"/>
          <w:i w:val="false"/>
          <w:sz w:val="20"/>
        </w:rPr>
        <w:t>发言人1 答：服务消费可能会包括以下五条主要政策路径：1）休假制度的完善，例如扩大春假、秋假的连休，并提升家长带薪休假的天数和使用率；2）入境游限制放宽，通过免签、离境退税等便利措施促进外国入境游增长；3）供给侧优化和培育新的服务消费增长点，如游艇旅游、铁路专列旅游、演出赛事加旅游等；4）地方政府因地制宜发放少量消费性补贴；5）中央补贴聚焦于生育养育失能老人等刚需群体，强化民生保障。</w:t>
      </w:r>
    </w:p>
    <w:p>
      <w:r>
        <w:rPr>
          <w:rFonts w:ascii="等线(中文正文)" w:hAnsi="等线(中文正文)" w:cs="等线(中文正文)" w:eastAsia="等线(中文正文)"/>
          <w:b w:val="false"/>
          <w:i w:val="false"/>
          <w:sz w:val="20"/>
        </w:rPr>
        <w:t/>
      </w:r>
    </w:p>
    <w:p>
      <w:pPr>
        <w:pStyle w:val="ab"/>
      </w:pPr>
      <w:r>
        <w:t>发言人1 问：哪些行业企业会受益于这些服务消费政策路径并带来投资机会？</w:t>
      </w:r>
    </w:p>
    <w:p>
      <w:r>
        <w:rPr>
          <w:rFonts w:ascii="等线(中文正文)" w:hAnsi="等线(中文正文)" w:cs="等线(中文正文)" w:eastAsia="等线(中文正文)"/>
          <w:b w:val="false"/>
          <w:i w:val="false"/>
          <w:sz w:val="20"/>
        </w:rPr>
        <w:t>发言人1 答：受益于这些服务消费政策路径的主要行业包括：1）商旅文体健融合的文旅出行产业链，如酒店、餐饮、航空、交运、景区、会展赛事运营、演出综合运营等；2）免税行业，因休假制度完善和入境游扩容将增加客流基础，同时受益于海南自贸港发展；3）养老托育行业，在政策促进下虽商业模式成长规模连锁性不如酒店餐饮，但能改善盈利稳定性并有一定成长机遇。</w:t>
      </w:r>
    </w:p>
    <w:p>
      <w:r>
        <w:rPr>
          <w:rFonts w:ascii="等线(中文正文)" w:hAnsi="等线(中文正文)" w:cs="等线(中文正文)" w:eastAsia="等线(中文正文)"/>
          <w:b w:val="false"/>
          <w:i w:val="false"/>
          <w:sz w:val="20"/>
        </w:rPr>
        <w:t/>
      </w:r>
    </w:p>
    <w:p>
      <w:pPr>
        <w:pStyle w:val="ab"/>
      </w:pPr>
      <w:r>
        <w:t>发言人1 问：对于科技硬件方面，特别是AI算力产业链的发展前景如何看待？</w:t>
      </w:r>
    </w:p>
    <w:p>
      <w:r>
        <w:rPr>
          <w:rFonts w:ascii="等线(中文正文)" w:hAnsi="等线(中文正文)" w:cs="等线(中文正文)" w:eastAsia="等线(中文正文)"/>
          <w:b w:val="false"/>
          <w:i w:val="false"/>
          <w:sz w:val="20"/>
        </w:rPr>
        <w:t>发言人1 答：AI算力有望成为世界经济与智能化发展的核心底座，其国产化对于保证国家数字安全和破解技术瓶颈风险至关重要。从需求端看，中国云端AI硬件市场需求有望快速成长，而端侧AI硬件在中国企业深厚布局下也有望在未来3到5年内迎来创新周期中的爆发。供给侧来看，中国在云端AI硬件全链条技术攻关取得进展，与海外领先水平差距缩小，新型计算架构不断涌现，随着算力资源统筹规划清晰及东数西藏工程推进，国产AI算力硬件系统性竞争力有望增强。近期DPCV4的发布进一步加强了上述逻辑判断，证明中国自主AI硬件在云测和端测推理端已无显著隔阂，落地确定性提升，整个国产AI算力产业链从芯片到配套电子元器件等环节都将跟随需求和供给的飞轮向前发展。</w:t>
      </w:r>
    </w:p>
    <w:p>
      <w:r>
        <w:rPr>
          <w:rFonts w:ascii="等线(中文正文)" w:hAnsi="等线(中文正文)" w:cs="等线(中文正文)" w:eastAsia="等线(中文正文)"/>
          <w:b w:val="false"/>
          <w:i w:val="false"/>
          <w:sz w:val="20"/>
        </w:rPr>
        <w:t/>
      </w:r>
    </w:p>
    <w:p>
      <w:pPr>
        <w:pStyle w:val="ab"/>
      </w:pPr>
      <w:r>
        <w:t>发言人1 问：这次会议对促消费方面有何重点内容？服务消费方面有何相关政策或受益点？</w:t>
      </w:r>
    </w:p>
    <w:p>
      <w:r>
        <w:rPr>
          <w:rFonts w:ascii="等线(中文正文)" w:hAnsi="等线(中文正文)" w:cs="等线(中文正文)" w:eastAsia="等线(中文正文)"/>
          <w:b w:val="false"/>
          <w:i w:val="false"/>
          <w:sz w:val="20"/>
        </w:rPr>
        <w:t>发言人1 答：会议强调要深入挖掘内需潜力，扩大优质商品和服务供给，推动消费升级。这代表政策正在引导大型互联网公司从需求侧流量争夺转向供给侧的质量重构，通过引入高品质、差异化商品和服务来提升消费业态的整体附加值。会议提到深入实施国务院关于扩容体制的行动，与之前印发的推进服务业扩容提质意见相呼应。互联网行业的OTA平台有望在创新文旅体制模式、旅游前置释放等方面直接获益。</w:t>
      </w:r>
    </w:p>
    <w:p>
      <w:r>
        <w:rPr>
          <w:rFonts w:ascii="等线(中文正文)" w:hAnsi="等线(中文正文)" w:cs="等线(中文正文)" w:eastAsia="等线(中文正文)"/>
          <w:b w:val="false"/>
          <w:i w:val="false"/>
          <w:sz w:val="20"/>
        </w:rPr>
        <w:t/>
      </w:r>
    </w:p>
    <w:p>
      <w:pPr>
        <w:pStyle w:val="ab"/>
      </w:pPr>
      <w:r>
        <w:t>发言人1 问：从监管角度看，会议对互联网行业竞争格局有何影响？</w:t>
      </w:r>
    </w:p>
    <w:p>
      <w:r>
        <w:rPr>
          <w:rFonts w:ascii="等线(中文正文)" w:hAnsi="等线(中文正文)" w:cs="等线(中文正文)" w:eastAsia="等线(中文正文)"/>
          <w:b w:val="false"/>
          <w:i w:val="false"/>
          <w:sz w:val="20"/>
        </w:rPr>
        <w:t>发言人1 答：会议提出深入整治原始竞争，有助于缓解互联网平台内部的竞争压力，例如外卖大战已逐渐降温。国家市场监督管理总局的表态和案例处罚强化了行业回归理性经济的确定性，有利于相关公司盈利修复和弹性。</w:t>
      </w:r>
    </w:p>
    <w:p>
      <w:r>
        <w:rPr>
          <w:rFonts w:ascii="等线(中文正文)" w:hAnsi="等线(中文正文)" w:cs="等线(中文正文)" w:eastAsia="等线(中文正文)"/>
          <w:b w:val="false"/>
          <w:i w:val="false"/>
          <w:sz w:val="20"/>
        </w:rPr>
        <w:t/>
      </w:r>
    </w:p>
    <w:p>
      <w:pPr>
        <w:pStyle w:val="ab"/>
      </w:pPr>
      <w:r>
        <w:t>发言人1 问：在科技层面，会议有哪些关键点？</w:t>
      </w:r>
    </w:p>
    <w:p>
      <w:r>
        <w:rPr>
          <w:rFonts w:ascii="等线(中文正文)" w:hAnsi="等线(中文正文)" w:cs="等线(中文正文)" w:eastAsia="等线(中文正文)"/>
          <w:b w:val="false"/>
          <w:i w:val="false"/>
          <w:sz w:val="20"/>
        </w:rPr>
        <w:t>发言人1 答：会议指出要推动科技自立自强，全面实施人工智能加行动，发展智能经济新形态，并完善人工智能治理。大型互联网公司在过去几年积极响应政策号召，加大AI投入，参与基础设施建设，发布并迭代重磅大模型，在底层创新方面取得显著成效，并探索AI应用场景以推动智能经济形态落地。</w:t>
      </w:r>
    </w:p>
    <w:p>
      <w:r>
        <w:rPr>
          <w:rFonts w:ascii="等线(中文正文)" w:hAnsi="等线(中文正文)" w:cs="等线(中文正文)" w:eastAsia="等线(中文正文)"/>
          <w:b w:val="false"/>
          <w:i w:val="false"/>
          <w:sz w:val="20"/>
        </w:rPr>
        <w:t/>
      </w:r>
    </w:p>
    <w:p>
      <w:pPr>
        <w:pStyle w:val="ab"/>
      </w:pPr>
      <w:r>
        <w:t>发言人1 问：对于近期市场对国内互联网大厂AI投入的纠结情绪，您怎么看？</w:t>
      </w:r>
    </w:p>
    <w:p>
      <w:r>
        <w:rPr>
          <w:rFonts w:ascii="等线(中文正文)" w:hAnsi="等线(中文正文)" w:cs="等线(中文正文)" w:eastAsia="等线(中文正文)"/>
          <w:b w:val="false"/>
          <w:i w:val="false"/>
          <w:sz w:val="20"/>
        </w:rPr>
        <w:t>发言人1 答：建议客观看待这些公司的AI投入，对于已有明确新业务或产品的公司，根据其短期亏损进行负估值可能存在合理性；而对于投入尚在早期的公司，则可回顾尝试性要素分析，关注那些业务壁垒高、管理文化优秀的企业，它们在长期创造更好回报的可能性更高。</w:t>
      </w:r>
    </w:p>
    <w:p>
      <w:r>
        <w:rPr>
          <w:rFonts w:ascii="等线(中文正文)" w:hAnsi="等线(中文正文)" w:cs="等线(中文正文)" w:eastAsia="等线(中文正文)"/>
          <w:b w:val="false"/>
          <w:i w:val="false"/>
          <w:sz w:val="20"/>
        </w:rPr>
        <w:t/>
      </w:r>
    </w:p>
    <w:p>
      <w:pPr>
        <w:pStyle w:val="ab"/>
      </w:pPr>
      <w:r>
        <w:t>发言人1 问：对于农业板块，尤其是生猪行业，您有何观点？</w:t>
      </w:r>
    </w:p>
    <w:p>
      <w:r>
        <w:rPr>
          <w:rFonts w:ascii="等线(中文正文)" w:hAnsi="等线(中文正文)" w:cs="等线(中文正文)" w:eastAsia="等线(中文正文)"/>
          <w:b w:val="false"/>
          <w:i w:val="false"/>
          <w:sz w:val="20"/>
        </w:rPr>
        <w:t>发言人1 答：政治局会议明确提出抓好农业生产，稳定生猪等农产品价格，这是2019年以来首次直接点名生猪行业。从长期看，猪业新范式已经开启，猪价未来将呈现振幅收敛、波动下降特征；短期来看，四月份的供应压力较大，但随着母猪产能下降，体重压力逐步释放，猪价低点已经过去，后面将有逐步回升态势。投资层面，龙头猪企成本优势明显，随着猪价回暖，其盈利能力有望率先回升，并通过成本精进、屠宰业务拓展及海外布局实现成长与价值双重属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2026-04-28T14:59:49Z</dcterms:created>
  <dc:creator>Apache POI</dc:creator>
</cp:coreProperties>
</file>