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华创固收 - 小幅止盈，但资管钱多仍未结束—— 周观点系列会议304期 260427_导读</w:t>
      </w:r>
    </w:p>
    <w:p>
      <w:pPr>
        <w:pStyle w:val="a0"/>
        <w:jc w:val="center"/>
      </w:pPr>
      <w:r>
        <w:t>2026年04月27日 22:35</w:t>
      </w:r>
    </w:p>
    <w:p>
      <w:pPr>
        <w:pStyle w:val="a7"/>
      </w:pPr>
      <w:r>
        <w:t>关键词</w:t>
      </w:r>
    </w:p>
    <w:p>
      <w:r>
        <w:rPr>
          <w:rFonts w:ascii="等线(中文正文)" w:hAnsi="等线(中文正文)" w:cs="等线(中文正文)" w:eastAsia="等线(中文正文)"/>
          <w:b w:val="false"/>
          <w:i w:val="false"/>
          <w:sz w:val="20"/>
        </w:rPr>
        <w:t xml:space="preserve">债券 资管 利差压缩 止盈 资金条件 理财规模 流动性溢价 配置行情 资金价格 麻辣粉 特别国债 波段操作 季节性 国开 凸点 二级市场 申购基金 净买入量 国债 新券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创固收团队集中讨论了本周的债券市场策略，重点关注30年期国债的换券交易及其对市场利差和流动性溢价的影响。在信用策略方面，团队强调了资管行业利差压缩行情的尾声，讨论了新资金进场时的信用配比问题，并对未来市场表现持审慎态度。同时，讨论了转债市场，特别是强赎退市后正股特征和转债策略，以及行业展望。团队还分析了特别国债发行对市场的影响，资金条件的宽松状态，和5月中旬市场观察的重点。整体上，团队对市场策略、信用品种配置和转债市场的表现进行了深入讨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债券市场止盈操作与信用配置策略分析</w:t>
      </w:r>
    </w:p>
    <w:p>
      <w:r>
        <w:rPr>
          <w:rFonts w:ascii="等线(中文正文)" w:hAnsi="等线(中文正文)" w:cs="等线(中文正文)" w:eastAsia="等线(中文正文)"/>
          <w:b w:val="false"/>
          <w:i w:val="false"/>
          <w:sz w:val="20"/>
        </w:rPr>
        <w:t>对话讨论了债券市场近期的止盈操作，指出由于收益率快速下行，机构在特别国债发行前期进行换券交易，导致流动性溢价丧失。同时，分析了信用配置策略，建议关注资管利差压缩行情尾声阶段的新资金进场配置机会。</w:t>
      </w:r>
    </w:p>
    <w:p>
      <w:r>
        <w:rPr>
          <w:rFonts w:ascii="等线(中文正文)" w:hAnsi="等线(中文正文)" w:cs="等线(中文正文)" w:eastAsia="等线(中文正文)"/>
          <w:b w:val="false"/>
          <w:i w:val="false"/>
          <w:sz w:val="20"/>
        </w:rPr>
        <w:t/>
      </w:r>
    </w:p>
    <w:p>
      <w:pPr>
        <w:pStyle w:val="ab"/>
        <w:numPr>
          <w:numId w:val="2"/>
        </w:numPr>
      </w:pPr>
      <w:r>
        <w:t>02:41 特别国债发行与市场流动性变化分析</w:t>
      </w:r>
    </w:p>
    <w:p>
      <w:r>
        <w:rPr>
          <w:rFonts w:ascii="等线(中文正文)" w:hAnsi="等线(中文正文)" w:cs="等线(中文正文)" w:eastAsia="等线(中文正文)"/>
          <w:b w:val="false"/>
          <w:i w:val="false"/>
          <w:sz w:val="20"/>
        </w:rPr>
        <w:t>特别国债发行导致新券流动性增强，影响老券流动性溢价，市场出现小幅调整。当前资金条件宽松，但预计5月中旬税期叠加政府债券发行时，资金可能自然收敛。资金价格已触及低位，难以进一步下行。</w:t>
      </w:r>
    </w:p>
    <w:p>
      <w:r>
        <w:rPr>
          <w:rFonts w:ascii="等线(中文正文)" w:hAnsi="等线(中文正文)" w:cs="等线(中文正文)" w:eastAsia="等线(中文正文)"/>
          <w:b w:val="false"/>
          <w:i w:val="false"/>
          <w:sz w:val="20"/>
        </w:rPr>
        <w:t/>
      </w:r>
    </w:p>
    <w:p>
      <w:pPr>
        <w:pStyle w:val="ab"/>
        <w:numPr>
          <w:numId w:val="3"/>
        </w:numPr>
      </w:pPr>
      <w:r>
        <w:t>05:41 央行麻辣粉回笼操作及其对资金市场的影响</w:t>
      </w:r>
    </w:p>
    <w:p>
      <w:r>
        <w:rPr>
          <w:rFonts w:ascii="等线(中文正文)" w:hAnsi="等线(中文正文)" w:cs="等线(中文正文)" w:eastAsia="等线(中文正文)"/>
          <w:b w:val="false"/>
          <w:i w:val="false"/>
          <w:sz w:val="20"/>
        </w:rPr>
        <w:t>央行通过麻辣粉回笼操作，旨在调整资金价格，使其回归政策利率水平。历史上，麻辣粉阶段性净回笼通常发生在资金价格极低时，预计五月份资金价格将较四月升高。当前资金市场仍相对宽松，资管资金多逻辑持续，建议关注五月资金情况变化。季节性因素在无重大基本面和政策变动时，对理解市场表现至关重要。</w:t>
      </w:r>
    </w:p>
    <w:p>
      <w:r>
        <w:rPr>
          <w:rFonts w:ascii="等线(中文正文)" w:hAnsi="等线(中文正文)" w:cs="等线(中文正文)" w:eastAsia="等线(中文正文)"/>
          <w:b w:val="false"/>
          <w:i w:val="false"/>
          <w:sz w:val="20"/>
        </w:rPr>
        <w:t/>
      </w:r>
    </w:p>
    <w:p>
      <w:pPr>
        <w:pStyle w:val="ab"/>
        <w:numPr>
          <w:numId w:val="4"/>
        </w:numPr>
      </w:pPr>
      <w:r>
        <w:t>08:48 理财规模增长放缓与资管前端行情分析</w:t>
      </w:r>
    </w:p>
    <w:p>
      <w:r>
        <w:rPr>
          <w:rFonts w:ascii="等线(中文正文)" w:hAnsi="等线(中文正文)" w:cs="等线(中文正文)" w:eastAsia="等线(中文正文)"/>
          <w:b w:val="false"/>
          <w:i w:val="false"/>
          <w:sz w:val="20"/>
        </w:rPr>
        <w:t>理财规模增长在4月出现放缓，全年预测调整至1.8到2.2万亿，接近2023年水平。尽管规模预测下修，但四月配置行情未受影响，预计五月中旬资管前端行情将达到峰值。理财申购基金数据保持高位，资金在市场调整后可能迅速回流，短期资管行情有望延续。五一假期前后行情预计稳定。</w:t>
      </w:r>
    </w:p>
    <w:p>
      <w:r>
        <w:rPr>
          <w:rFonts w:ascii="等线(中文正文)" w:hAnsi="等线(中文正文)" w:cs="等线(中文正文)" w:eastAsia="等线(中文正文)"/>
          <w:b w:val="false"/>
          <w:i w:val="false"/>
          <w:sz w:val="20"/>
        </w:rPr>
        <w:t/>
      </w:r>
    </w:p>
    <w:p>
      <w:pPr>
        <w:pStyle w:val="ab"/>
        <w:numPr>
          <w:numId w:val="5"/>
        </w:numPr>
      </w:pPr>
      <w:r>
        <w:t>12:04 资管利差压缩行情尾部操作策略探讨</w:t>
      </w:r>
    </w:p>
    <w:p>
      <w:r>
        <w:rPr>
          <w:rFonts w:ascii="等线(中文正文)" w:hAnsi="等线(中文正文)" w:cs="等线(中文正文)" w:eastAsia="等线(中文正文)"/>
          <w:b w:val="false"/>
          <w:i w:val="false"/>
          <w:sz w:val="20"/>
        </w:rPr>
        <w:t>对话讨论了资管利差压缩行情进入尾部阶段的操作策略，建议根据资金属性和增量资金决定是否参与尾部行情。对于寻求持续收益的资金，建议关注利差曲线凸点和期限利差压缩空间；对于已获取大额收益的资金，建议进行止盈调仓，转向流动性更好或进可攻退可守的资产。同时，提出利用华创三维度模型寻找利差凸点，比较去年与今年的利差压缩空间，并关注30年新券换券带来的行情变化。</w:t>
      </w:r>
    </w:p>
    <w:p>
      <w:r>
        <w:rPr>
          <w:rFonts w:ascii="等线(中文正文)" w:hAnsi="等线(中文正文)" w:cs="等线(中文正文)" w:eastAsia="等线(中文正文)"/>
          <w:b w:val="false"/>
          <w:i w:val="false"/>
          <w:sz w:val="20"/>
        </w:rPr>
        <w:t/>
      </w:r>
    </w:p>
    <w:p>
      <w:pPr>
        <w:pStyle w:val="ab"/>
        <w:numPr>
          <w:numId w:val="6"/>
        </w:numPr>
      </w:pPr>
      <w:r>
        <w:t>16:45 三年期债券换券策略分析与未来展望</w:t>
      </w:r>
    </w:p>
    <w:p>
      <w:r>
        <w:rPr>
          <w:rFonts w:ascii="等线(中文正文)" w:hAnsi="等线(中文正文)" w:cs="等线(中文正文)" w:eastAsia="等线(中文正文)"/>
          <w:b w:val="false"/>
          <w:i w:val="false"/>
          <w:sz w:val="20"/>
        </w:rPr>
        <w:t>对话围绕三年期债券的换券策略展开，分析了利差压缩阶段和换券阶段的特点，以及新券发行时的票面与二级收益率的利差对换券空间的影响。讨论了从一级参与换券到二级上市首日的收益计算方法，强调了市场情绪和增值税对换券策略的影响，并预测了未来换券空间的可能变化。</w:t>
      </w:r>
    </w:p>
    <w:p>
      <w:r>
        <w:rPr>
          <w:rFonts w:ascii="等线(中文正文)" w:hAnsi="等线(中文正文)" w:cs="等线(中文正文)" w:eastAsia="等线(中文正文)"/>
          <w:b w:val="false"/>
          <w:i w:val="false"/>
          <w:sz w:val="20"/>
        </w:rPr>
        <w:t/>
      </w:r>
    </w:p>
    <w:p>
      <w:pPr>
        <w:pStyle w:val="ab"/>
        <w:numPr>
          <w:numId w:val="7"/>
        </w:numPr>
      </w:pPr>
      <w:r>
        <w:t>20:50 新券上市与回撤老券利差变动分析</w:t>
      </w:r>
    </w:p>
    <w:p>
      <w:r>
        <w:rPr>
          <w:rFonts w:ascii="等线(中文正文)" w:hAnsi="等线(中文正文)" w:cs="等线(中文正文)" w:eastAsia="等线(中文正文)"/>
          <w:b w:val="false"/>
          <w:i w:val="false"/>
          <w:sz w:val="20"/>
        </w:rPr>
        <w:t>讨论了新券上市后至下一次新股上市前的利差变动，包括中标环节、新股发行后的表现及二级市场的参与。分析了不同年份的利差中位数，指出投资者对换券策略的提前反应以及经济环境下的参与节奏变化，强调了降息预期和券规模对收益的影响。</w:t>
      </w:r>
    </w:p>
    <w:p>
      <w:r>
        <w:rPr>
          <w:rFonts w:ascii="等线(中文正文)" w:hAnsi="等线(中文正文)" w:cs="等线(中文正文)" w:eastAsia="等线(中文正文)"/>
          <w:b w:val="false"/>
          <w:i w:val="false"/>
          <w:sz w:val="20"/>
        </w:rPr>
        <w:t/>
      </w:r>
    </w:p>
    <w:p>
      <w:pPr>
        <w:pStyle w:val="ab"/>
        <w:numPr>
          <w:numId w:val="8"/>
        </w:numPr>
      </w:pPr>
      <w:r>
        <w:t>25:53 二级市场参与空间与利差分析</w:t>
      </w:r>
    </w:p>
    <w:p>
      <w:r>
        <w:rPr>
          <w:rFonts w:ascii="等线(中文正文)" w:hAnsi="等线(中文正文)" w:cs="等线(中文正文)" w:eastAsia="等线(中文正文)"/>
          <w:b w:val="false"/>
          <w:i w:val="false"/>
          <w:sz w:val="20"/>
        </w:rPr>
        <w:t>讨论了二级市场参与的空间及压力差影响，指出芯片券规模扩大可能带来的收益机会，同时分析了不同券种的流动性与表现差异，建议关注心善与杨国善的利差变化以把握市场机会。</w:t>
      </w:r>
    </w:p>
    <w:p>
      <w:r>
        <w:rPr>
          <w:rFonts w:ascii="等线(中文正文)" w:hAnsi="等线(中文正文)" w:cs="等线(中文正文)" w:eastAsia="等线(中文正文)"/>
          <w:b w:val="false"/>
          <w:i w:val="false"/>
          <w:sz w:val="20"/>
        </w:rPr>
        <w:t/>
      </w:r>
    </w:p>
    <w:p>
      <w:pPr>
        <w:pStyle w:val="ab"/>
        <w:numPr>
          <w:numId w:val="9"/>
        </w:numPr>
      </w:pPr>
      <w:r>
        <w:t>31:48 信用策略分析与配置建议</w:t>
      </w:r>
    </w:p>
    <w:p>
      <w:r>
        <w:rPr>
          <w:rFonts w:ascii="等线(中文正文)" w:hAnsi="等线(中文正文)" w:cs="等线(中文正文)" w:eastAsia="等线(中文正文)"/>
          <w:b w:val="false"/>
          <w:i w:val="false"/>
          <w:sz w:val="20"/>
        </w:rPr>
        <w:t>对话围绕信用利差压缩的鱼尾行情展开，建议增量配置资金关注收益高、流动性好的品种，如两年以内、3到5年、5.5到7年及8.5到9年的2A加债券，以及3到5年二永债。强调短端调整风险可控，长端需谨慎观察止盈压力变化。最后提及本周三下午3点10分将举行线上本钢转债调研交流活动。</w:t>
      </w:r>
    </w:p>
    <w:p>
      <w:r>
        <w:rPr>
          <w:rFonts w:ascii="等线(中文正文)" w:hAnsi="等线(中文正文)" w:cs="等线(中文正文)" w:eastAsia="等线(中文正文)"/>
          <w:b w:val="false"/>
          <w:i w:val="false"/>
          <w:sz w:val="20"/>
        </w:rPr>
        <w:t/>
      </w:r>
    </w:p>
    <w:p>
      <w:pPr>
        <w:pStyle w:val="ab"/>
        <w:numPr>
          <w:numId w:val="10"/>
        </w:numPr>
      </w:pPr>
      <w:r>
        <w:t>38:30 转债市场分析与策略建议</w:t>
      </w:r>
    </w:p>
    <w:p>
      <w:r>
        <w:rPr>
          <w:rFonts w:ascii="等线(中文正文)" w:hAnsi="等线(中文正文)" w:cs="等线(中文正文)" w:eastAsia="等线(中文正文)"/>
          <w:b w:val="false"/>
          <w:i w:val="false"/>
          <w:sz w:val="20"/>
        </w:rPr>
        <w:t>对话围绕转债市场最新变化及策略展开，指出权益市场见顶迹象及转债溢价率高企，建议在当前位置寻找有弹性的结构性机会，审慎增仓，关注国产专利、AI应用等方向的扩散潜力。</w:t>
      </w:r>
    </w:p>
    <w:p>
      <w:r>
        <w:rPr>
          <w:rFonts w:ascii="等线(中文正文)" w:hAnsi="等线(中文正文)" w:cs="等线(中文正文)" w:eastAsia="等线(中文正文)"/>
          <w:b w:val="false"/>
          <w:i w:val="false"/>
          <w:sz w:val="20"/>
        </w:rPr>
        <w:t/>
      </w:r>
    </w:p>
    <w:p>
      <w:pPr>
        <w:pStyle w:val="ab"/>
        <w:numPr>
          <w:numId w:val="11"/>
        </w:numPr>
      </w:pPr>
      <w:r>
        <w:t>43:09 转债强赎后正股表现分析及策略建议</w:t>
      </w:r>
    </w:p>
    <w:p>
      <w:r>
        <w:rPr>
          <w:rFonts w:ascii="等线(中文正文)" w:hAnsi="等线(中文正文)" w:cs="等线(中文正文)" w:eastAsia="等线(中文正文)"/>
          <w:b w:val="false"/>
          <w:i w:val="false"/>
          <w:sz w:val="20"/>
        </w:rPr>
        <w:t>报告分析了转债强赎后正股的市场表现，指出2018年至2025年期间多数情况下出现负收益，尤其高估值和低估值股票表现不佳，而估值适中、行业稳定的转债有阶段性反弹机会。建议投资者关注盈利和估值稳定的转债，避免短期催化结束后的抛压风险，同时可重点关注周期和制造行业。</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首先介绍了华创固收团队每周的周观点交流会，主要聚焦于债券市场的策略观点。他强调了在当前市场环境下，进行小幅止盈操作的必要性，同时关注特别国债发行对市场可能造成的影响。此外，他还提到了信用市场的变化，指出资管行业内的利差压缩行情已接近尾声，并探讨了转债市场的新动态，特别是转债强赎退市后对正股特征的影响。他特别强调了调整和策略操作的重要性，建议市场参与者关注短端利率的波动及资金流动的潜在影响。最后，他对转债市场进行了深入分析，讨论了转债强赎后对正股的影响，并基于此提出了对市场的谨慎态度及具体的结构性投资建议。整体而言，他的发言内容丰富，涵盖了债券市场、信用市场及转债市场等多个方面的详细分析与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问：在债券策略方面，你们当前的判断是什么？</w:t>
      </w:r>
    </w:p>
    <w:p>
      <w:r>
        <w:rPr>
          <w:rFonts w:ascii="等线(中文正文)" w:hAnsi="等线(中文正文)" w:cs="等线(中文正文)" w:eastAsia="等线(中文正文)"/>
          <w:b w:val="false"/>
          <w:i w:val="false"/>
          <w:sz w:val="20"/>
        </w:rPr>
        <w:t>发言人1 答：我们的策略观点是小幅止盈。上周五到本周，债券市场出现了一种止盈操作，主要是因为三月底开始的资管利差压缩行情中收益率下行较快，尤其是在理财配置基金的资金体量增加的情况下，市场抓住机会进行了止盈操作。</w:t>
      </w:r>
    </w:p>
    <w:p>
      <w:r>
        <w:rPr>
          <w:rFonts w:ascii="等线(中文正文)" w:hAnsi="等线(中文正文)" w:cs="等线(中文正文)" w:eastAsia="等线(中文正文)"/>
          <w:b w:val="false"/>
          <w:i w:val="false"/>
          <w:sz w:val="20"/>
        </w:rPr>
        <w:t/>
      </w:r>
    </w:p>
    <w:p>
      <w:pPr>
        <w:pStyle w:val="ab"/>
      </w:pPr>
      <w:r>
        <w:t>发言人1 问：上周五为什么债券市场会出现止盈操作？</w:t>
      </w:r>
    </w:p>
    <w:p>
      <w:r>
        <w:rPr>
          <w:rFonts w:ascii="等线(中文正文)" w:hAnsi="等线(中文正文)" w:cs="等线(中文正文)" w:eastAsia="等线(中文正文)"/>
          <w:b w:val="false"/>
          <w:i w:val="false"/>
          <w:sz w:val="20"/>
        </w:rPr>
        <w:t>发言人1 答：核心原因是三月底以来收益率快速下行，特别是理财配置基金的资金体量在四月中旬放量较多。此外，在特别国债发行前期，机构提前交易新老券换券，导致流动性溢价丧失，周五下午的资金边际波动及麻辣粉操作变化进一步推动了市场上的止盈操作。</w:t>
      </w:r>
    </w:p>
    <w:p>
      <w:r>
        <w:rPr>
          <w:rFonts w:ascii="等线(中文正文)" w:hAnsi="等线(中文正文)" w:cs="等线(中文正文)" w:eastAsia="等线(中文正文)"/>
          <w:b w:val="false"/>
          <w:i w:val="false"/>
          <w:sz w:val="20"/>
        </w:rPr>
        <w:t/>
      </w:r>
    </w:p>
    <w:p>
      <w:pPr>
        <w:pStyle w:val="ab"/>
      </w:pPr>
      <w:r>
        <w:t>发言人1 问：特别国债发行是否引发了止盈调整？</w:t>
      </w:r>
    </w:p>
    <w:p>
      <w:r>
        <w:rPr>
          <w:rFonts w:ascii="等线(中文正文)" w:hAnsi="等线(中文正文)" w:cs="等线(中文正文)" w:eastAsia="等线(中文正文)"/>
          <w:b w:val="false"/>
          <w:i w:val="false"/>
          <w:sz w:val="20"/>
        </w:rPr>
        <w:t>发言人1 答：是的，特别国债发行时的一级招标收益水平比二级市场低约3个BP，这在过去两年中较为罕见。因此，在周五债券市场出现调整时，部分资金基于新老券流动性溢价的变化进行了止盈操作。</w:t>
      </w:r>
    </w:p>
    <w:p>
      <w:r>
        <w:rPr>
          <w:rFonts w:ascii="等线(中文正文)" w:hAnsi="等线(中文正文)" w:cs="等线(中文正文)" w:eastAsia="等线(中文正文)"/>
          <w:b w:val="false"/>
          <w:i w:val="false"/>
          <w:sz w:val="20"/>
        </w:rPr>
        <w:t/>
      </w:r>
    </w:p>
    <w:p>
      <w:pPr>
        <w:pStyle w:val="ab"/>
      </w:pPr>
      <w:r>
        <w:t>发言人1 问：为何认为这次调整不会引起大的波动？</w:t>
      </w:r>
    </w:p>
    <w:p>
      <w:r>
        <w:rPr>
          <w:rFonts w:ascii="等线(中文正文)" w:hAnsi="等线(中文正文)" w:cs="等线(中文正文)" w:eastAsia="等线(中文正文)"/>
          <w:b w:val="false"/>
          <w:i w:val="false"/>
          <w:sz w:val="20"/>
        </w:rPr>
        <w:t>发言人1 答：虽然上周五央行进行了麻辣粉回笼操作，但目前资金冗余量仍然较多，银行金融出水平维持在历史高位。资金条件整体上还是处于宽松状态，即使出现调整，也是基于资金自然收敛的预期，如5月中旬税期叠加政府债券发行时可能会观察到资金自然回笼的情况。</w:t>
      </w:r>
    </w:p>
    <w:p>
      <w:r>
        <w:rPr>
          <w:rFonts w:ascii="等线(中文正文)" w:hAnsi="等线(中文正文)" w:cs="等线(中文正文)" w:eastAsia="等线(中文正文)"/>
          <w:b w:val="false"/>
          <w:i w:val="false"/>
          <w:sz w:val="20"/>
        </w:rPr>
        <w:t/>
      </w:r>
    </w:p>
    <w:p>
      <w:pPr>
        <w:pStyle w:val="ab"/>
      </w:pPr>
      <w:r>
        <w:t>发言人1 问：对于当前资金价格水平的看法如何？</w:t>
      </w:r>
    </w:p>
    <w:p>
      <w:r>
        <w:rPr>
          <w:rFonts w:ascii="等线(中文正文)" w:hAnsi="等线(中文正文)" w:cs="等线(中文正文)" w:eastAsia="等线(中文正文)"/>
          <w:b w:val="false"/>
          <w:i w:val="false"/>
          <w:sz w:val="20"/>
        </w:rPr>
        <w:t>发言人1 答：我们判断当前资金价格已经是最低水平，很难继续下行。隔夜价格已经接近临时隔夜正逆回购下限的1.2水平，同时金融时报也提到该水平已处于极低状态，因此我们认为资金价格已经处在底部。</w:t>
      </w:r>
    </w:p>
    <w:p>
      <w:r>
        <w:rPr>
          <w:rFonts w:ascii="等线(中文正文)" w:hAnsi="等线(中文正文)" w:cs="等线(中文正文)" w:eastAsia="等线(中文正文)"/>
          <w:b w:val="false"/>
          <w:i w:val="false"/>
          <w:sz w:val="20"/>
        </w:rPr>
        <w:t/>
      </w:r>
    </w:p>
    <w:p>
      <w:pPr>
        <w:pStyle w:val="ab"/>
      </w:pPr>
      <w:r>
        <w:t>发言人1 问：对于央行麻辣粉净回笼操作的理解是什么？</w:t>
      </w:r>
    </w:p>
    <w:p>
      <w:r>
        <w:rPr>
          <w:rFonts w:ascii="等线(中文正文)" w:hAnsi="等线(中文正文)" w:cs="等线(中文正文)" w:eastAsia="等线(中文正文)"/>
          <w:b w:val="false"/>
          <w:i w:val="false"/>
          <w:sz w:val="20"/>
        </w:rPr>
        <w:t>发言人1 答：上周五央行的麻辣粉净回笼操作，结合之前从2024年8月到2025年2月间的连续操作，显示出央行对于当前资金价格已处于极低水平，并且倾向于逐步回归政策利率的态度。</w:t>
      </w:r>
    </w:p>
    <w:p>
      <w:r>
        <w:rPr>
          <w:rFonts w:ascii="等线(中文正文)" w:hAnsi="等线(中文正文)" w:cs="等线(中文正文)" w:eastAsia="等线(中文正文)"/>
          <w:b w:val="false"/>
          <w:i w:val="false"/>
          <w:sz w:val="20"/>
        </w:rPr>
        <w:t/>
      </w:r>
    </w:p>
    <w:p>
      <w:pPr>
        <w:pStyle w:val="ab"/>
      </w:pPr>
      <w:r>
        <w:t>发言人1 问：麻辣粉净回笼的时间窗口通常发生在什么时候？当前策略上对资金面有何看法？</w:t>
      </w:r>
    </w:p>
    <w:p>
      <w:r>
        <w:rPr>
          <w:rFonts w:ascii="等线(中文正文)" w:hAnsi="等线(中文正文)" w:cs="等线(中文正文)" w:eastAsia="等线(中文正文)"/>
          <w:b w:val="false"/>
          <w:i w:val="false"/>
          <w:sz w:val="20"/>
        </w:rPr>
        <w:t>发言人1 答：麻辣粉的阶段性净回笼时间窗口通常发生在资金价格极低水平的年份，例如20年、21年和22年。五月份的资金价格相比四月份会有所上升，但需要等待回笼契机，如大税期、全年补缴水费、政府债券发行等事件，伴随供给放量和前期资金使用过程，逐步回收冗余资金。目前策略上存在小幅止盈操作，但资金多逻辑可能还未完全结束，因为资金自然收敛和刚性缺口尚未引起资金价格明显变动。短端资金宽松平稳，长端止盈更多是交易层面的快进快出操作。</w:t>
      </w:r>
    </w:p>
    <w:p>
      <w:r>
        <w:rPr>
          <w:rFonts w:ascii="等线(中文正文)" w:hAnsi="等线(中文正文)" w:cs="等线(中文正文)" w:eastAsia="等线(中文正文)"/>
          <w:b w:val="false"/>
          <w:i w:val="false"/>
          <w:sz w:val="20"/>
        </w:rPr>
        <w:t/>
      </w:r>
    </w:p>
    <w:p>
      <w:pPr>
        <w:pStyle w:val="ab"/>
      </w:pPr>
      <w:r>
        <w:t>发言人1 问：对于利差压缩行情有何建议？</w:t>
      </w:r>
    </w:p>
    <w:p>
      <w:r>
        <w:rPr>
          <w:rFonts w:ascii="等线(中文正文)" w:hAnsi="等线(中文正文)" w:cs="等线(中文正文)" w:eastAsia="等线(中文正文)"/>
          <w:b w:val="false"/>
          <w:i w:val="false"/>
          <w:sz w:val="20"/>
        </w:rPr>
        <w:t>发言人1 答：建议调整利差压缩行情的预期，并寻找新的凸点继续进行资管钱多的利差压缩逻辑操作，预计在5月中旬关注资金情况的变化。</w:t>
      </w:r>
    </w:p>
    <w:p>
      <w:r>
        <w:rPr>
          <w:rFonts w:ascii="等线(中文正文)" w:hAnsi="等线(中文正文)" w:cs="等线(中文正文)" w:eastAsia="等线(中文正文)"/>
          <w:b w:val="false"/>
          <w:i w:val="false"/>
          <w:sz w:val="20"/>
        </w:rPr>
        <w:t/>
      </w:r>
    </w:p>
    <w:p>
      <w:pPr>
        <w:pStyle w:val="ab"/>
      </w:pPr>
      <w:r>
        <w:t>发言人1 问：当前理财规模的增长趋势如何？</w:t>
      </w:r>
    </w:p>
    <w:p>
      <w:r>
        <w:rPr>
          <w:rFonts w:ascii="等线(中文正文)" w:hAnsi="等线(中文正文)" w:cs="等线(中文正文)" w:eastAsia="等线(中文正文)"/>
          <w:b w:val="false"/>
          <w:i w:val="false"/>
          <w:sz w:val="20"/>
        </w:rPr>
        <w:t>发言人1 答：根据现有数据预测，2025年四月份理财规模增长可能达到1.8到2.2万亿左右，回到2022年至2023年的水平。理财申购基金数据仍然保持较高积极性，这表明资金对于配置行情仍有支撑作用。</w:t>
      </w:r>
    </w:p>
    <w:p>
      <w:r>
        <w:rPr>
          <w:rFonts w:ascii="等线(中文正文)" w:hAnsi="等线(中文正文)" w:cs="等线(中文正文)" w:eastAsia="等线(中文正文)"/>
          <w:b w:val="false"/>
          <w:i w:val="false"/>
          <w:sz w:val="20"/>
        </w:rPr>
        <w:t/>
      </w:r>
    </w:p>
    <w:p>
      <w:pPr>
        <w:pStyle w:val="ab"/>
      </w:pPr>
      <w:r>
        <w:t>发言人1 问：未来资管前端行情将如何演变？</w:t>
      </w:r>
    </w:p>
    <w:p>
      <w:r>
        <w:rPr>
          <w:rFonts w:ascii="等线(中文正文)" w:hAnsi="等线(中文正文)" w:cs="等线(中文正文)" w:eastAsia="等线(中文正文)"/>
          <w:b w:val="false"/>
          <w:i w:val="false"/>
          <w:sz w:val="20"/>
        </w:rPr>
        <w:t>发言人1 答：参考季节性表现，预计在五月中旬左右资管机构前端的配置可能达到峰值水平。在接下来的一两周内，即使五一假期前后，行情大概率会延续，但对于是否参与最后的鱼尾行情，取决于投资者是否有增量资金和账户交易配置属性。</w:t>
      </w:r>
    </w:p>
    <w:p>
      <w:r>
        <w:rPr>
          <w:rFonts w:ascii="等线(中文正文)" w:hAnsi="等线(中文正文)" w:cs="等线(中文正文)" w:eastAsia="等线(中文正文)"/>
          <w:b w:val="false"/>
          <w:i w:val="false"/>
          <w:sz w:val="20"/>
        </w:rPr>
        <w:t/>
      </w:r>
    </w:p>
    <w:p>
      <w:pPr>
        <w:pStyle w:val="ab"/>
      </w:pPr>
      <w:r>
        <w:t>发言人1 问：对于已经参与行情的资金应如何操作？</w:t>
      </w:r>
    </w:p>
    <w:p>
      <w:r>
        <w:rPr>
          <w:rFonts w:ascii="等线(中文正文)" w:hAnsi="等线(中文正文)" w:cs="等线(中文正文)" w:eastAsia="等线(中文正文)"/>
          <w:b w:val="false"/>
          <w:i w:val="false"/>
          <w:sz w:val="20"/>
        </w:rPr>
        <w:t>发言人1 答：前期赚取较多收益且主要做多波段行情的资金，可以逐步进行止盈操作，调整至流动性更好的资产或持有类似十年国开等进可攻退可守的资产。而对于希望通过交易增厚收益的资金，则可继续参与小波段操作。</w:t>
      </w:r>
    </w:p>
    <w:p>
      <w:r>
        <w:rPr>
          <w:rFonts w:ascii="等线(中文正文)" w:hAnsi="等线(中文正文)" w:cs="等线(中文正文)" w:eastAsia="等线(中文正文)"/>
          <w:b w:val="false"/>
          <w:i w:val="false"/>
          <w:sz w:val="20"/>
        </w:rPr>
        <w:t/>
      </w:r>
    </w:p>
    <w:p>
      <w:pPr>
        <w:pStyle w:val="ab"/>
      </w:pPr>
      <w:r>
        <w:t>发言人1 问：在当前市场环境下，对于想要进行尾部操作的资金，如何利用华创的三维度利差比较模型进行操作？当前市场利差压缩行情的推进情况如何？</w:t>
      </w:r>
    </w:p>
    <w:p>
      <w:r>
        <w:rPr>
          <w:rFonts w:ascii="等线(中文正文)" w:hAnsi="等线(中文正文)" w:cs="等线(中文正文)" w:eastAsia="等线(中文正文)"/>
          <w:b w:val="false"/>
          <w:i w:val="false"/>
          <w:sz w:val="20"/>
        </w:rPr>
        <w:t>发言人1 答：在当前行情尾部阶段，资金操作主要看账户属性是否有新增资金。对于继续进行尾部操作的资金，可以使用华创的三维度利差比较模型寻找整个曲线上的凸点。目前来看，3到5年和7到10年的国开债利差压缩空间较大。同时，对比去年二季度整体利差压缩行情与今年已有的行情空间，超长端非活跃品种（如高票息品种）存在一定的补涨和利差压缩空间，例如30年减10年、20年减10年的国债期限利差可能还有3到5个BP的压缩空间，具体还需关注新券上市后的二级市场成交情况。自三月底开始推的资管钱多利差压缩行情已持续一个月，大部分行情已经走平。资金条件相对充裕且宽松，在小调整过程中可能会出现波动，并伴随新券上市前的调仓操作。但到了5月中旬，市场需要变得更加谨慎对待。</w:t>
      </w:r>
    </w:p>
    <w:p>
      <w:r>
        <w:rPr>
          <w:rFonts w:ascii="等线(中文正文)" w:hAnsi="等线(中文正文)" w:cs="等线(中文正文)" w:eastAsia="等线(中文正文)"/>
          <w:b w:val="false"/>
          <w:i w:val="false"/>
          <w:sz w:val="20"/>
        </w:rPr>
        <w:t/>
      </w:r>
    </w:p>
    <w:p>
      <w:pPr>
        <w:pStyle w:val="ab"/>
      </w:pPr>
      <w:r>
        <w:t>发言人1 问：在操作层面，如何利用横向比较和纵向比较来寻找利差曲线上的凸点？</w:t>
      </w:r>
    </w:p>
    <w:p>
      <w:r>
        <w:rPr>
          <w:rFonts w:ascii="等线(中文正文)" w:hAnsi="等线(中文正文)" w:cs="等线(中文正文)" w:eastAsia="等线(中文正文)"/>
          <w:b w:val="false"/>
          <w:i w:val="false"/>
          <w:sz w:val="20"/>
        </w:rPr>
        <w:t>发言人1 答：在操作层面，建议采用横向比较模型或通过对比去年二季度资管利差压缩行情，综合分析利差曲线上的凸点。个券操作时，关注特定日期如29号30年新券换券可能带来的行情变化。</w:t>
      </w:r>
    </w:p>
    <w:p>
      <w:r>
        <w:rPr>
          <w:rFonts w:ascii="等线(中文正文)" w:hAnsi="等线(中文正文)" w:cs="等线(中文正文)" w:eastAsia="等线(中文正文)"/>
          <w:b w:val="false"/>
          <w:i w:val="false"/>
          <w:sz w:val="20"/>
        </w:rPr>
        <w:t/>
      </w:r>
    </w:p>
    <w:p>
      <w:pPr>
        <w:pStyle w:val="ab"/>
      </w:pPr>
      <w:r>
        <w:t>发言人1 问：对于最近三年期国债招标情况及后续换券阶段的看法是什么？</w:t>
      </w:r>
    </w:p>
    <w:p>
      <w:r>
        <w:rPr>
          <w:rFonts w:ascii="等线(中文正文)" w:hAnsi="等线(中文正文)" w:cs="等线(中文正文)" w:eastAsia="等线(中文正文)"/>
          <w:b w:val="false"/>
          <w:i w:val="false"/>
          <w:sz w:val="20"/>
        </w:rPr>
        <w:t>发言人1 答：在三年期国债招标中，前两周呈现利差压缩阶段，其中收益率高的老券表现更好。随着换券阶段的到来，原活跃券的表现可能会变弱。在券种选择上，应关注流动性和收益率变化。此外，在换券策略阶段，新券发行时的票面与二级市场活跃券收益率利差，以及新券上市后的一级换券收益和二级市场的表现，都是判断换券空间和实际演绎程度的重要指标。</w:t>
      </w:r>
    </w:p>
    <w:p>
      <w:r>
        <w:rPr>
          <w:rFonts w:ascii="等线(中文正文)" w:hAnsi="等线(中文正文)" w:cs="等线(中文正文)" w:eastAsia="等线(中文正文)"/>
          <w:b w:val="false"/>
          <w:i w:val="false"/>
          <w:sz w:val="20"/>
        </w:rPr>
        <w:t/>
      </w:r>
    </w:p>
    <w:p>
      <w:pPr>
        <w:pStyle w:val="ab"/>
      </w:pPr>
      <w:r>
        <w:t>发言人1 问：在新券上市后的阶段，一级市场投资者对于换券策略的反应如何？</w:t>
      </w:r>
    </w:p>
    <w:p>
      <w:r>
        <w:rPr>
          <w:rFonts w:ascii="等线(中文正文)" w:hAnsi="等线(中文正文)" w:cs="等线(中文正文)" w:eastAsia="等线(中文正文)"/>
          <w:b w:val="false"/>
          <w:i w:val="false"/>
          <w:sz w:val="20"/>
        </w:rPr>
        <w:t>发言人1 答：在新券上市后，尤其是在上周五的中标环节中，一级市场投资者对新券的交易反应前置，已经能够反映出换券的方向，并且呈现出一定的透支感。这次新券的中位数利差为负0.5个BP，低于历史平均水平，并且是近年来最低的一次。</w:t>
      </w:r>
    </w:p>
    <w:p>
      <w:r>
        <w:rPr>
          <w:rFonts w:ascii="等线(中文正文)" w:hAnsi="等线(中文正文)" w:cs="等线(中文正文)" w:eastAsia="等线(中文正文)"/>
          <w:b w:val="false"/>
          <w:i w:val="false"/>
          <w:sz w:val="20"/>
        </w:rPr>
        <w:t/>
      </w:r>
    </w:p>
    <w:p>
      <w:pPr>
        <w:pStyle w:val="ab"/>
      </w:pPr>
      <w:r>
        <w:t>发言人1 问：第二个环节中，新股发行至上市首日间，利差变动的中位数是多少？近年来，投资者参与换券的节奏有何变化？</w:t>
      </w:r>
    </w:p>
    <w:p>
      <w:r>
        <w:rPr>
          <w:rFonts w:ascii="等线(中文正文)" w:hAnsi="等线(中文正文)" w:cs="等线(中文正文)" w:eastAsia="等线(中文正文)"/>
          <w:b w:val="false"/>
          <w:i w:val="false"/>
          <w:sz w:val="20"/>
        </w:rPr>
        <w:t>发言人1 答：在新股发行至上市首日的阶段，回撤的老券持续上行，利差变动的中位数通常在负0.8个BP左右，这代表了一级投资者在二级市场上可能实现的兑现收益。近年来，投资者对于券种挖掘更加一致，参与节奏也越发靠前。例如，在2023年的一些特别国债发行案例中，一级上市首日就出现了快速的利差演绎，套利空间可达3.25个BP，今年的情况也延续了这一趋势。</w:t>
      </w:r>
    </w:p>
    <w:p>
      <w:r>
        <w:rPr>
          <w:rFonts w:ascii="等线(中文正文)" w:hAnsi="等线(中文正文)" w:cs="等线(中文正文)" w:eastAsia="等线(中文正文)"/>
          <w:b w:val="false"/>
          <w:i w:val="false"/>
          <w:sz w:val="20"/>
        </w:rPr>
        <w:t/>
      </w:r>
    </w:p>
    <w:p>
      <w:pPr>
        <w:pStyle w:val="ab"/>
      </w:pPr>
      <w:r>
        <w:t>发言人1 问：第三个环节中，二级市场参与换券时，新老券利差的最大下跌幅度中位数是多少？</w:t>
      </w:r>
    </w:p>
    <w:p>
      <w:r>
        <w:rPr>
          <w:rFonts w:ascii="等线(中文正文)" w:hAnsi="等线(中文正文)" w:cs="等线(中文正文)" w:eastAsia="等线(中文正文)"/>
          <w:b w:val="false"/>
          <w:i w:val="false"/>
          <w:sz w:val="20"/>
        </w:rPr>
        <w:t>发言人1 答：在二级市场参与换券的过程中，随着流动性的增强，新老券利差的最大下跌幅度中位数大约为1/4个BP，这是投资者参与换券收益的主要来源。</w:t>
      </w:r>
    </w:p>
    <w:p>
      <w:r>
        <w:rPr>
          <w:rFonts w:ascii="等线(中文正文)" w:hAnsi="等线(中文正文)" w:cs="等线(中文正文)" w:eastAsia="等线(中文正文)"/>
          <w:b w:val="false"/>
          <w:i w:val="false"/>
          <w:sz w:val="20"/>
        </w:rPr>
        <w:t/>
      </w:r>
    </w:p>
    <w:p>
      <w:pPr>
        <w:pStyle w:val="ab"/>
      </w:pPr>
      <w:r>
        <w:t>发言人1 问：是否存在特殊情况导致二级市场换券空间较大？</w:t>
      </w:r>
    </w:p>
    <w:p>
      <w:r>
        <w:rPr>
          <w:rFonts w:ascii="等线(中文正文)" w:hAnsi="等线(中文正文)" w:cs="等线(中文正文)" w:eastAsia="等线(中文正文)"/>
          <w:b w:val="false"/>
          <w:i w:val="false"/>
          <w:sz w:val="20"/>
        </w:rPr>
        <w:t>发言人1 答：特殊情况包括但不限于降息预期、券种规模较大以及回撤时间较长等。比如23023和24车6这两支券，由于降息预期强烈、规模较大以及回撤时间长，导致二级市场的换券空间较大，甚至出现超过1个BP的情况。</w:t>
      </w:r>
    </w:p>
    <w:p>
      <w:r>
        <w:rPr>
          <w:rFonts w:ascii="等线(中文正文)" w:hAnsi="等线(中文正文)" w:cs="等线(中文正文)" w:eastAsia="等线(中文正文)"/>
          <w:b w:val="false"/>
          <w:i w:val="false"/>
          <w:sz w:val="20"/>
        </w:rPr>
        <w:t/>
      </w:r>
    </w:p>
    <w:p>
      <w:pPr>
        <w:pStyle w:val="ab"/>
      </w:pPr>
      <w:r>
        <w:t>发言人1 问：综合来看，完整换券空间的中位数是多少？</w:t>
      </w:r>
    </w:p>
    <w:p>
      <w:r>
        <w:rPr>
          <w:rFonts w:ascii="等线(中文正文)" w:hAnsi="等线(中文正文)" w:cs="等线(中文正文)" w:eastAsia="等线(中文正文)"/>
          <w:b w:val="false"/>
          <w:i w:val="false"/>
          <w:sz w:val="20"/>
        </w:rPr>
        <w:t>发言人1 答：综合考虑一、二、三级市场的表现，完整换券空间的中位数通常在6个BP左右。同时，如果新券与原回券规模差异较大，例如本次讨论的新券规模可能较原回券增大不少，类似的历史案例显示在这种规模差异下，换券空间可能会有所增加。</w:t>
      </w:r>
    </w:p>
    <w:p>
      <w:r>
        <w:rPr>
          <w:rFonts w:ascii="等线(中文正文)" w:hAnsi="等线(中文正文)" w:cs="等线(中文正文)" w:eastAsia="等线(中文正文)"/>
          <w:b w:val="false"/>
          <w:i w:val="false"/>
          <w:sz w:val="20"/>
        </w:rPr>
        <w:t/>
      </w:r>
    </w:p>
    <w:p>
      <w:pPr>
        <w:pStyle w:val="ab"/>
      </w:pPr>
      <w:r>
        <w:t>发言人1 问：在二级市场参与时，当前剩余空间如何？</w:t>
      </w:r>
    </w:p>
    <w:p>
      <w:r>
        <w:rPr>
          <w:rFonts w:ascii="等线(中文正文)" w:hAnsi="等线(中文正文)" w:cs="等线(中文正文)" w:eastAsia="等线(中文正文)"/>
          <w:b w:val="false"/>
          <w:i w:val="false"/>
          <w:sz w:val="20"/>
        </w:rPr>
        <w:t>发言人1 答：由于在前面环节已提前透支了较大空间，所以在二级市场进一步参与时，剩余空间并不大，大概只有1到2个BP以上。这个空间相对较小，且实际收益的操作主要集中在第二和第三个环节。</w:t>
      </w:r>
    </w:p>
    <w:p>
      <w:r>
        <w:rPr>
          <w:rFonts w:ascii="等线(中文正文)" w:hAnsi="等线(中文正文)" w:cs="等线(中文正文)" w:eastAsia="等线(中文正文)"/>
          <w:b w:val="false"/>
          <w:i w:val="false"/>
          <w:sz w:val="20"/>
        </w:rPr>
        <w:t/>
      </w:r>
    </w:p>
    <w:p>
      <w:pPr>
        <w:pStyle w:val="ab"/>
      </w:pPr>
      <w:r>
        <w:t>发言人1 问：有没有直观的跟踪指标可以帮助分析市场情况？</w:t>
      </w:r>
    </w:p>
    <w:p>
      <w:r>
        <w:rPr>
          <w:rFonts w:ascii="等线(中文正文)" w:hAnsi="等线(中文正文)" w:cs="等线(中文正文)" w:eastAsia="等线(中文正文)"/>
          <w:b w:val="false"/>
          <w:i w:val="false"/>
          <w:sz w:val="20"/>
        </w:rPr>
        <w:t>发言人1 答：可以关注新善跟杨国善之间的利差这一指标，历史数据显示其低点在-6到-7个BP左右。目前二级市场还未上市，但观察到该利差约为负5个BP，与历史极值相比，未来上市后的表现可能受到限制。</w:t>
      </w:r>
    </w:p>
    <w:p>
      <w:r>
        <w:rPr>
          <w:rFonts w:ascii="等线(中文正文)" w:hAnsi="等线(中文正文)" w:cs="等线(中文正文)" w:eastAsia="等线(中文正文)"/>
          <w:b w:val="false"/>
          <w:i w:val="false"/>
          <w:sz w:val="20"/>
        </w:rPr>
        <w:t/>
      </w:r>
    </w:p>
    <w:p>
      <w:pPr>
        <w:pStyle w:val="ab"/>
      </w:pPr>
      <w:r>
        <w:t>发言人1 问：对于老券2602的表现有何看法？</w:t>
      </w:r>
    </w:p>
    <w:p>
      <w:r>
        <w:rPr>
          <w:rFonts w:ascii="等线(中文正文)" w:hAnsi="等线(中文正文)" w:cs="等线(中文正文)" w:eastAsia="等线(中文正文)"/>
          <w:b w:val="false"/>
          <w:i w:val="false"/>
          <w:sz w:val="20"/>
        </w:rPr>
        <w:t>发言人1 答：根据前两年的经验，建议对袁弘善2602进行规避，因为它流动性丧失明显，受芯片方向流动影响较大，并且规模较小，预计表现会更弱。相比之下，26特625特6的券可能表现更好，因其集中度有所下降，还有进一步走高的空间。</w:t>
      </w:r>
    </w:p>
    <w:p>
      <w:r>
        <w:rPr>
          <w:rFonts w:ascii="等线(中文正文)" w:hAnsi="等线(中文正文)" w:cs="等线(中文正文)" w:eastAsia="等线(中文正文)"/>
          <w:b w:val="false"/>
          <w:i w:val="false"/>
          <w:sz w:val="20"/>
        </w:rPr>
        <w:t/>
      </w:r>
    </w:p>
    <w:p>
      <w:pPr>
        <w:pStyle w:val="ab"/>
      </w:pPr>
      <w:r>
        <w:t>发言人1 问：对于增量配置资金在信用板块的选择有何建议？</w:t>
      </w:r>
    </w:p>
    <w:p>
      <w:r>
        <w:rPr>
          <w:rFonts w:ascii="等线(中文正文)" w:hAnsi="等线(中文正文)" w:cs="等线(中文正文)" w:eastAsia="等线(中文正文)"/>
          <w:b w:val="false"/>
          <w:i w:val="false"/>
          <w:sz w:val="20"/>
        </w:rPr>
        <w:t>发言人1 答：建议关注收入较高、流动性较好的品种。具体期限上，两年以内的品种目前收益率处于历史低位，短期调整风险相对可控，是优选底仓品种；3到5年期限的品种仍有压缩空间，可关注曲线平坦化的机会；而对于五年以上长线品种，随着利差压缩接近尾声，建议负债端稳定性偏弱的机构不要追涨，而风险偏好较高且负债稳定的机构可以继续关注期限利差较高、流动性较好的券，推荐5.5到7年、8.5到9年的2A加以及7年和8.5年的3A中票等凸点品种。此外，3到5年期限的二永品种由于流动性优势和品种溢价也值得继续关注。</w:t>
      </w:r>
    </w:p>
    <w:p>
      <w:r>
        <w:rPr>
          <w:rFonts w:ascii="等线(中文正文)" w:hAnsi="等线(中文正文)" w:cs="等线(中文正文)" w:eastAsia="等线(中文正文)"/>
          <w:b w:val="false"/>
          <w:i w:val="false"/>
          <w:sz w:val="20"/>
        </w:rPr>
        <w:t/>
      </w:r>
    </w:p>
    <w:p>
      <w:pPr>
        <w:pStyle w:val="ab"/>
      </w:pPr>
      <w:r>
        <w:t>发言人1 问：对于中长期二元的净买入力量，你们有什么看法？</w:t>
      </w:r>
    </w:p>
    <w:p>
      <w:r>
        <w:rPr>
          <w:rFonts w:ascii="等线(中文正文)" w:hAnsi="等线(中文正文)" w:cs="等线(中文正文)" w:eastAsia="等线(中文正文)"/>
          <w:b w:val="false"/>
          <w:i w:val="false"/>
          <w:sz w:val="20"/>
        </w:rPr>
        <w:t>发言人1 答：年初以来，中长端的二元净买入主要由基金主导，交易盘参与度较强。上周，中长端二元超利差呈现V型走势，主要是跟随市场情绪变化。对于3到5年的品种，因其流动性优势和平等溢价，可以适当关注。而五年以上的长期长久期二级资本债，短期持谨慎态度，并将持续关注止盈压力的调整。</w:t>
      </w:r>
    </w:p>
    <w:p>
      <w:r>
        <w:rPr>
          <w:rFonts w:ascii="等线(中文正文)" w:hAnsi="等线(中文正文)" w:cs="等线(中文正文)" w:eastAsia="等线(中文正文)"/>
          <w:b w:val="false"/>
          <w:i w:val="false"/>
          <w:sz w:val="20"/>
        </w:rPr>
        <w:t/>
      </w:r>
    </w:p>
    <w:p>
      <w:pPr>
        <w:pStyle w:val="ab"/>
      </w:pPr>
      <w:r>
        <w:t>发言人1 问：在当前信用策略方面，有什么建议？</w:t>
      </w:r>
    </w:p>
    <w:p>
      <w:r>
        <w:rPr>
          <w:rFonts w:ascii="等线(中文正文)" w:hAnsi="等线(中文正文)" w:cs="等线(中文正文)" w:eastAsia="等线(中文正文)"/>
          <w:b w:val="false"/>
          <w:i w:val="false"/>
          <w:sz w:val="20"/>
        </w:rPr>
        <w:t>发言人1 答：在信用利差压缩阶段，对于增量配置资金，建议关注权收益高、流动性好的品种。同时，本周三下午3点10分将组织一个关于本钢转债的线上调研交流活动，欢迎感兴趣的投资者参加。</w:t>
      </w:r>
    </w:p>
    <w:p>
      <w:r>
        <w:rPr>
          <w:rFonts w:ascii="等线(中文正文)" w:hAnsi="等线(中文正文)" w:cs="等线(中文正文)" w:eastAsia="等线(中文正文)"/>
          <w:b w:val="false"/>
          <w:i w:val="false"/>
          <w:sz w:val="20"/>
        </w:rPr>
        <w:t/>
      </w:r>
    </w:p>
    <w:p>
      <w:pPr>
        <w:pStyle w:val="ab"/>
      </w:pPr>
      <w:r>
        <w:t>发言人1 问：转债市场近期有哪些变化？</w:t>
      </w:r>
    </w:p>
    <w:p>
      <w:r>
        <w:rPr>
          <w:rFonts w:ascii="等线(中文正文)" w:hAnsi="等线(中文正文)" w:cs="等线(中文正文)" w:eastAsia="等线(中文正文)"/>
          <w:b w:val="false"/>
          <w:i w:val="false"/>
          <w:sz w:val="20"/>
        </w:rPr>
        <w:t>发言人1 答：上周下半周开始，权益市场出现明显回调，转债市场也随之承压。4100点附近存在阻力，部分龙头公司因业绩不及预期引发估值担忧，导致权益市场向上动能放缓，而转债溢价率升至接近历史新高的水平，接近40%，引发对能否有效消化的疑虑，对持有意愿构成压力。</w:t>
      </w:r>
    </w:p>
    <w:p>
      <w:r>
        <w:rPr>
          <w:rFonts w:ascii="等线(中文正文)" w:hAnsi="等线(中文正文)" w:cs="等线(中文正文)" w:eastAsia="等线(中文正文)"/>
          <w:b w:val="false"/>
          <w:i w:val="false"/>
          <w:sz w:val="20"/>
        </w:rPr>
        <w:t/>
      </w:r>
    </w:p>
    <w:p>
      <w:pPr>
        <w:pStyle w:val="ab"/>
      </w:pPr>
      <w:r>
        <w:t>发言人1 问：转债市场在5、6月份面临什么独特压力？</w:t>
      </w:r>
    </w:p>
    <w:p>
      <w:r>
        <w:rPr>
          <w:rFonts w:ascii="等线(中文正文)" w:hAnsi="等线(中文正文)" w:cs="等线(中文正文)" w:eastAsia="等线(中文正文)"/>
          <w:b w:val="false"/>
          <w:i w:val="false"/>
          <w:sz w:val="20"/>
        </w:rPr>
        <w:t>发言人1 答：5、6月份是定期评级跟踪报告披露期，近期已出现一些风险事件，如文泰转债等，这些都导致转债正股或转债出现较大损伤，因此市场在这个时期承受额外的压力。</w:t>
      </w:r>
    </w:p>
    <w:p>
      <w:r>
        <w:rPr>
          <w:rFonts w:ascii="等线(中文正文)" w:hAnsi="等线(中文正文)" w:cs="等线(中文正文)" w:eastAsia="等线(中文正文)"/>
          <w:b w:val="false"/>
          <w:i w:val="false"/>
          <w:sz w:val="20"/>
        </w:rPr>
        <w:t/>
      </w:r>
    </w:p>
    <w:p>
      <w:pPr>
        <w:pStyle w:val="ab"/>
      </w:pPr>
      <w:r>
        <w:t>发言人1 问：对于当前转债市场的整体策略有何建议？</w:t>
      </w:r>
    </w:p>
    <w:p>
      <w:r>
        <w:rPr>
          <w:rFonts w:ascii="等线(中文正文)" w:hAnsi="等线(中文正文)" w:cs="等线(中文正文)" w:eastAsia="等线(中文正文)"/>
          <w:b w:val="false"/>
          <w:i w:val="false"/>
          <w:sz w:val="20"/>
        </w:rPr>
        <w:t>发言人1 答：鉴于当前估值较高，不建议继续追涨或大幅上仓位，而是更推荐寻找具有弹性的结构去抓住板块性或结构性机会，同时保持审慎的仓位配置。</w:t>
      </w:r>
    </w:p>
    <w:p>
      <w:r>
        <w:rPr>
          <w:rFonts w:ascii="等线(中文正文)" w:hAnsi="等线(中文正文)" w:cs="等线(中文正文)" w:eastAsia="等线(中文正文)"/>
          <w:b w:val="false"/>
          <w:i w:val="false"/>
          <w:sz w:val="20"/>
        </w:rPr>
        <w:t/>
      </w:r>
    </w:p>
    <w:p>
      <w:pPr>
        <w:pStyle w:val="ab"/>
      </w:pPr>
      <w:r>
        <w:t>发言人1 问：转债强赎公告后到退市前这段时间的表现如何？</w:t>
      </w:r>
    </w:p>
    <w:p>
      <w:r>
        <w:rPr>
          <w:rFonts w:ascii="等线(中文正文)" w:hAnsi="等线(中文正文)" w:cs="等线(中文正文)" w:eastAsia="等线(中文正文)"/>
          <w:b w:val="false"/>
          <w:i w:val="false"/>
          <w:sz w:val="20"/>
        </w:rPr>
        <w:t>发言人1 答：统计结果显示，从转债最后交易日到强赎退市前这段时间，转债转股带来的正股抛压效应较为明显，大多数年份呈现负收益。其中，PE小于1的个券在退市后甚至会出现进一步下跌的情况，而转债成熟后回落到估值中枢下方的类型可以适当关注。此外，行业结构上，周期和制造类转债在行情变化时表现更强劲，转股稀释率较高的转债相对承压更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2026-04-27T15:16:06Z</dcterms:created>
  <dc:creator>Apache POI</dc:creator>
</cp:coreProperties>
</file>