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思瑞浦（688536）2026年第一季度业绩交流会 260427_导读</w:t>
      </w:r>
    </w:p>
    <w:p>
      <w:pPr>
        <w:pStyle w:val="a0"/>
        <w:jc w:val="center"/>
      </w:pPr>
      <w:r>
        <w:t>2026年04月27日 22:35</w:t>
      </w:r>
    </w:p>
    <w:p>
      <w:pPr>
        <w:pStyle w:val="a7"/>
      </w:pPr>
      <w:r>
        <w:t>关键词</w:t>
      </w:r>
    </w:p>
    <w:p>
      <w:r>
        <w:rPr>
          <w:rFonts w:ascii="等线(中文正文)" w:hAnsi="等线(中文正文)" w:cs="等线(中文正文)" w:eastAsia="等线(中文正文)"/>
          <w:b w:val="false"/>
          <w:i w:val="false"/>
          <w:sz w:val="20"/>
        </w:rPr>
        <w:t xml:space="preserve">一季度 业绩 同比增长 毛利率 研发投入 光模块 泛工业 净利率 下游市场 消费电子 汽车市场 产品放量 技术储备 AI需求 营收占比 工业市场 车规级芯片 电源管理 信号链 产能储备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公司在第一季度展现了强劲的业绩增长，净利润率提升至15.01%，同比增长和环比分别提升11和7个百分点，出货量同比增长52.58%至19.06亿颗，其中信号链芯片和电源管理芯片的收入分别增长69.02%和60.92%。公司加大研发投入，一季度研发费用达1.64亿元，同比增长27.66%。下游市场全面增长，特别指出AI需求推动光模块业务，泛工业、泛通讯、汽车和消费电子市场分别占比40%、25%到30%、15%和18%。展望未来，公司预期将持续稳健高质量增长。对于投资者的各种具体问题，公司管理层详细解答，展示了对公司未来发展的乐观态度和持续的研发、市场拓展策略。</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公司一季度业绩与研发情况汇报</w:t>
      </w:r>
    </w:p>
    <w:p>
      <w:r>
        <w:rPr>
          <w:rFonts w:ascii="等线(中文正文)" w:hAnsi="等线(中文正文)" w:cs="等线(中文正文)" w:eastAsia="等线(中文正文)"/>
          <w:b w:val="false"/>
          <w:i w:val="false"/>
          <w:sz w:val="20"/>
        </w:rPr>
        <w:t>一季度公司业绩显著提升，净利率达15.01%，同比和环比分别提升11个和7个百分点，出货量同比增长52.58%，产品放量加速，信号链芯片和电源管理芯片收入分别增长69.02%和60.92%，研发投入达1.64亿元，同比增长27.66%，技术储备持续增强。随后进入投资者提问环节。</w:t>
      </w:r>
    </w:p>
    <w:p>
      <w:r>
        <w:rPr>
          <w:rFonts w:ascii="等线(中文正文)" w:hAnsi="等线(中文正文)" w:cs="等线(中文正文)" w:eastAsia="等线(中文正文)"/>
          <w:b w:val="false"/>
          <w:i w:val="false"/>
          <w:sz w:val="20"/>
        </w:rPr>
        <w:t/>
      </w:r>
    </w:p>
    <w:p>
      <w:pPr>
        <w:pStyle w:val="ab"/>
        <w:numPr>
          <w:numId w:val="2"/>
        </w:numPr>
      </w:pPr>
      <w:r>
        <w:t>02:58 一季度业绩增长分析与二季度需求展望</w:t>
      </w:r>
    </w:p>
    <w:p>
      <w:r>
        <w:rPr>
          <w:rFonts w:ascii="等线(中文正文)" w:hAnsi="等线(中文正文)" w:cs="等线(中文正文)" w:eastAsia="等线(中文正文)"/>
          <w:b w:val="false"/>
          <w:i w:val="false"/>
          <w:sz w:val="20"/>
        </w:rPr>
        <w:t>一季度业绩强劲增长，得益于下游市场需求释放与公司产品份额提升。泛工业、泛通讯、汽车市场收入占比分别为40%、25%-30%、15%，消费市场占比18%。二季度AI相关市场景气度预计持续，工业汽车市场有望成长，消费市场稳健。公司将继续深耕市场，优化增长结构，追求高质量增长。</w:t>
      </w:r>
    </w:p>
    <w:p>
      <w:r>
        <w:rPr>
          <w:rFonts w:ascii="等线(中文正文)" w:hAnsi="等线(中文正文)" w:cs="等线(中文正文)" w:eastAsia="等线(中文正文)"/>
          <w:b w:val="false"/>
          <w:i w:val="false"/>
          <w:sz w:val="20"/>
        </w:rPr>
        <w:t/>
      </w:r>
    </w:p>
    <w:p>
      <w:pPr>
        <w:pStyle w:val="ab"/>
        <w:numPr>
          <w:numId w:val="3"/>
        </w:numPr>
      </w:pPr>
      <w:r>
        <w:t>07:52 公司毛利率提升原因及未来展望</w:t>
      </w:r>
    </w:p>
    <w:p>
      <w:r>
        <w:rPr>
          <w:rFonts w:ascii="等线(中文正文)" w:hAnsi="等线(中文正文)" w:cs="等线(中文正文)" w:eastAsia="等线(中文正文)"/>
          <w:b w:val="false"/>
          <w:i w:val="false"/>
          <w:sz w:val="20"/>
        </w:rPr>
        <w:t>对话围绕公司一季度毛利率提升的原因及未来趋势展开。一季度毛利率同环比均有所提升，主要归因于收入结构优化，特别是毛利率较高的泛通信和泛工业市场快速增长。展望未来，毛利率受业务结构和成本端波动影响，需持续关注。公司对全年毛利率维持相对平稳的预期。</w:t>
      </w:r>
    </w:p>
    <w:p>
      <w:r>
        <w:rPr>
          <w:rFonts w:ascii="等线(中文正文)" w:hAnsi="等线(中文正文)" w:cs="等线(中文正文)" w:eastAsia="等线(中文正文)"/>
          <w:b w:val="false"/>
          <w:i w:val="false"/>
          <w:sz w:val="20"/>
        </w:rPr>
        <w:t/>
      </w:r>
    </w:p>
    <w:p>
      <w:pPr>
        <w:pStyle w:val="ab"/>
        <w:numPr>
          <w:numId w:val="4"/>
        </w:numPr>
      </w:pPr>
      <w:r>
        <w:t>09:48 公司一季度净利率提升及后续趋势分析</w:t>
      </w:r>
    </w:p>
    <w:p>
      <w:r>
        <w:rPr>
          <w:rFonts w:ascii="等线(中文正文)" w:hAnsi="等线(中文正文)" w:cs="等线(中文正文)" w:eastAsia="等线(中文正文)"/>
          <w:b w:val="false"/>
          <w:i w:val="false"/>
          <w:sz w:val="20"/>
        </w:rPr>
        <w:t>对话中讨论了公司一季度净利率同环比大幅提高，超市场预期的原因，以及对后续净利率趋势的展望。</w:t>
      </w:r>
    </w:p>
    <w:p>
      <w:r>
        <w:rPr>
          <w:rFonts w:ascii="等线(中文正文)" w:hAnsi="等线(中文正文)" w:cs="等线(中文正文)" w:eastAsia="等线(中文正文)"/>
          <w:b w:val="false"/>
          <w:i w:val="false"/>
          <w:sz w:val="20"/>
        </w:rPr>
        <w:t/>
      </w:r>
    </w:p>
    <w:p>
      <w:pPr>
        <w:pStyle w:val="ab"/>
        <w:numPr>
          <w:numId w:val="5"/>
        </w:numPr>
      </w:pPr>
      <w:r>
        <w:t>10:43 公司一季度净利润提升与全年预期分析</w:t>
      </w:r>
    </w:p>
    <w:p>
      <w:r>
        <w:rPr>
          <w:rFonts w:ascii="等线(中文正文)" w:hAnsi="等线(中文正文)" w:cs="等线(中文正文)" w:eastAsia="等线(中文正文)"/>
          <w:b w:val="false"/>
          <w:i w:val="false"/>
          <w:sz w:val="20"/>
        </w:rPr>
        <w:t>对话围绕一季度净利润的提升原因展开，指出营收增长、毛利率提升和费用优化是关键因素。展望全年，公司计划加大在团队、产品、市场和工业建设的投入，预计净利润和净利率将显著提升，但季度间可能因收入结构和费用节奏变化而波动，公司会动态调整策略以实现稳健表现。</w:t>
      </w:r>
    </w:p>
    <w:p>
      <w:r>
        <w:rPr>
          <w:rFonts w:ascii="等线(中文正文)" w:hAnsi="等线(中文正文)" w:cs="等线(中文正文)" w:eastAsia="等线(中文正文)"/>
          <w:b w:val="false"/>
          <w:i w:val="false"/>
          <w:sz w:val="20"/>
        </w:rPr>
        <w:t/>
      </w:r>
    </w:p>
    <w:p>
      <w:pPr>
        <w:pStyle w:val="ab"/>
        <w:numPr>
          <w:numId w:val="6"/>
        </w:numPr>
      </w:pPr>
      <w:r>
        <w:t>12:50 光模块市场业务增长与产品布局</w:t>
      </w:r>
    </w:p>
    <w:p>
      <w:r>
        <w:rPr>
          <w:rFonts w:ascii="等线(中文正文)" w:hAnsi="等线(中文正文)" w:cs="等线(中文正文)" w:eastAsia="等线(中文正文)"/>
          <w:b w:val="false"/>
          <w:i w:val="false"/>
          <w:sz w:val="20"/>
        </w:rPr>
        <w:t>对话围绕光模块市场业务的增长展开，详细介绍了公司在光模块市场的丰富产品布局，包括多款已量产产品及其在400G、800G、1.6T光模块中的应用，特别是技术壁垒较高的FE产品。同时，公司与多家知名客户建立了良好的合作关系，并计划持续投入资源开发新产品以满足市场需求。2024年至今，光模块业务实现了快速增长，预计全年营收占比将进一步提升，公司将继续保持战略重视，快速响应技术演进和客户需求，确保供应链韧性及客户交付需求。</w:t>
      </w:r>
    </w:p>
    <w:p>
      <w:r>
        <w:rPr>
          <w:rFonts w:ascii="等线(中文正文)" w:hAnsi="等线(中文正文)" w:cs="等线(中文正文)" w:eastAsia="等线(中文正文)"/>
          <w:b w:val="false"/>
          <w:i w:val="false"/>
          <w:sz w:val="20"/>
        </w:rPr>
        <w:t/>
      </w:r>
    </w:p>
    <w:p>
      <w:pPr>
        <w:pStyle w:val="ab"/>
        <w:numPr>
          <w:numId w:val="7"/>
        </w:numPr>
      </w:pPr>
      <w:r>
        <w:t>17:56 工业市场需求复苏与公司业绩增长分析</w:t>
      </w:r>
    </w:p>
    <w:p>
      <w:r>
        <w:rPr>
          <w:rFonts w:ascii="等线(中文正文)" w:hAnsi="等线(中文正文)" w:cs="等线(中文正文)" w:eastAsia="等线(中文正文)"/>
          <w:b w:val="false"/>
          <w:i w:val="false"/>
          <w:sz w:val="20"/>
        </w:rPr>
        <w:t>对话围绕工业市场需求情况展开，指出工业市场基数大、国产化率低的特点，公司通过产品储备与客户拓展巩固先发优势。2025年一季度，工业市场整体需求复苏，逆变储能、电力输送、工业自动化等细分市场实现增长，客户结构优化，头部客户牵引力增强，中端客户群稳步扩大，为业绩持续增长奠定基础。</w:t>
      </w:r>
    </w:p>
    <w:p>
      <w:r>
        <w:rPr>
          <w:rFonts w:ascii="等线(中文正文)" w:hAnsi="等线(中文正文)" w:cs="等线(中文正文)" w:eastAsia="等线(中文正文)"/>
          <w:b w:val="false"/>
          <w:i w:val="false"/>
          <w:sz w:val="20"/>
        </w:rPr>
        <w:t/>
      </w:r>
    </w:p>
    <w:p>
      <w:pPr>
        <w:pStyle w:val="ab"/>
        <w:numPr>
          <w:numId w:val="8"/>
        </w:numPr>
      </w:pPr>
      <w:r>
        <w:t>21:13 汽车业务布局与未来增长指引</w:t>
      </w:r>
    </w:p>
    <w:p>
      <w:r>
        <w:rPr>
          <w:rFonts w:ascii="等线(中文正文)" w:hAnsi="等线(中文正文)" w:cs="等线(中文正文)" w:eastAsia="等线(中文正文)"/>
          <w:b w:val="false"/>
          <w:i w:val="false"/>
          <w:sz w:val="20"/>
        </w:rPr>
        <w:t>对话围绕汽车业务展开，涵盖了公司当前在汽车领域的全面布局，包括350多款车规级芯片的研发与应用，覆盖三电系统、智能驾驶等核心领域。公司正推进定制化产品与差异化研发，车载音频通信、电源管理、激光雷达等领域取得进展。2025年汽车市场营收预计超过3亿，同比增长40%以上，未来将持续争取快速增长。</w:t>
      </w:r>
    </w:p>
    <w:p>
      <w:r>
        <w:rPr>
          <w:rFonts w:ascii="等线(中文正文)" w:hAnsi="等线(中文正文)" w:cs="等线(中文正文)" w:eastAsia="等线(中文正文)"/>
          <w:b w:val="false"/>
          <w:i w:val="false"/>
          <w:sz w:val="20"/>
        </w:rPr>
        <w:t/>
      </w:r>
    </w:p>
    <w:p>
      <w:pPr>
        <w:pStyle w:val="ab"/>
        <w:numPr>
          <w:numId w:val="9"/>
        </w:numPr>
      </w:pPr>
      <w:r>
        <w:t>24:49 汽车市场增长动能与产品平台化布局</w:t>
      </w:r>
    </w:p>
    <w:p>
      <w:r>
        <w:rPr>
          <w:rFonts w:ascii="等线(中文正文)" w:hAnsi="等线(中文正文)" w:cs="等线(中文正文)" w:eastAsia="等线(中文正文)"/>
          <w:b w:val="false"/>
          <w:i w:val="false"/>
          <w:sz w:val="20"/>
        </w:rPr>
        <w:t>对话围绕汽车市场增长动能展开，从产品和客户两个维度分析。产品方面，公司计划丰富信号链和电源类产品，推进SMBMSFE等系列研发，形成平台化协同。客户方面，已积累大量整车厂及天旺等客户，头部客户合作深化，规模化收入客户数量增长，中位数客户基础也得到夯实。</w:t>
      </w:r>
    </w:p>
    <w:p>
      <w:r>
        <w:rPr>
          <w:rFonts w:ascii="等线(中文正文)" w:hAnsi="等线(中文正文)" w:cs="等线(中文正文)" w:eastAsia="等线(中文正文)"/>
          <w:b w:val="false"/>
          <w:i w:val="false"/>
          <w:sz w:val="20"/>
        </w:rPr>
        <w:t/>
      </w:r>
    </w:p>
    <w:p>
      <w:pPr>
        <w:pStyle w:val="ab"/>
        <w:numPr>
          <w:numId w:val="10"/>
        </w:numPr>
      </w:pPr>
      <w:r>
        <w:t>27:18 思瑞浦产能与成本应对策略</w:t>
      </w:r>
    </w:p>
    <w:p>
      <w:r>
        <w:rPr>
          <w:rFonts w:ascii="等线(中文正文)" w:hAnsi="等线(中文正文)" w:cs="等线(中文正文)" w:eastAsia="等线(中文正文)"/>
          <w:b w:val="false"/>
          <w:i w:val="false"/>
          <w:sz w:val="20"/>
        </w:rPr>
        <w:t>对话围绕思瑞浦产能紧张及成本上涨问题展开，公司通过增加备货、深化与供应商合作及自建产能等措施应对，同时优化测试能力，确保供应链韧性。</w:t>
      </w:r>
    </w:p>
    <w:p>
      <w:r>
        <w:rPr>
          <w:rFonts w:ascii="等线(中文正文)" w:hAnsi="等线(中文正文)" w:cs="等线(中文正文)" w:eastAsia="等线(中文正文)"/>
          <w:b w:val="false"/>
          <w:i w:val="false"/>
          <w:sz w:val="20"/>
        </w:rPr>
        <w:t/>
      </w:r>
    </w:p>
    <w:p>
      <w:pPr>
        <w:pStyle w:val="ab"/>
        <w:numPr>
          <w:numId w:val="11"/>
        </w:numPr>
      </w:pPr>
      <w:r>
        <w:t>32:32 公司年度扩招计划与岗位方向</w:t>
      </w:r>
    </w:p>
    <w:p>
      <w:r>
        <w:rPr>
          <w:rFonts w:ascii="等线(中文正文)" w:hAnsi="等线(中文正文)" w:cs="等线(中文正文)" w:eastAsia="等线(中文正文)"/>
          <w:b w:val="false"/>
          <w:i w:val="false"/>
          <w:sz w:val="20"/>
        </w:rPr>
        <w:t>公司为匹配长期发展需求，计划在26年加大关键领域投入，预计年底总人数达1100人，新增200多人。主要招聘方向包括研发、市场、销售、运营等核心业务岗位，同时加大校园招聘力度以充实人才资源库。</w:t>
      </w:r>
    </w:p>
    <w:p>
      <w:r>
        <w:rPr>
          <w:rFonts w:ascii="等线(中文正文)" w:hAnsi="等线(中文正文)" w:cs="等线(中文正文)" w:eastAsia="等线(中文正文)"/>
          <w:b w:val="false"/>
          <w:i w:val="false"/>
          <w:sz w:val="20"/>
        </w:rPr>
        <w:t/>
      </w:r>
    </w:p>
    <w:p>
      <w:pPr>
        <w:pStyle w:val="ab"/>
        <w:numPr>
          <w:numId w:val="12"/>
        </w:numPr>
      </w:pPr>
      <w:r>
        <w:t>34:07 公司外延拓展战略与未来规划</w:t>
      </w:r>
    </w:p>
    <w:p>
      <w:r>
        <w:rPr>
          <w:rFonts w:ascii="等线(中文正文)" w:hAnsi="等线(中文正文)" w:cs="等线(中文正文)" w:eastAsia="等线(中文正文)"/>
          <w:b w:val="false"/>
          <w:i w:val="false"/>
          <w:sz w:val="20"/>
        </w:rPr>
        <w:t>会议中，某公司分享了其在技术互补、市场协同、产业链延伸方面的外延拓展策略，强调将持续寻找战略投资与并购机会以增强竞争力。公司表示，若未来有新进展，将及时公告，体现了其对外延合作的积极态度和长期战略规划。</w:t>
      </w:r>
    </w:p>
    <w:p>
      <w:r>
        <w:rPr>
          <w:rFonts w:ascii="等线(中文正文)" w:hAnsi="等线(中文正文)" w:cs="等线(中文正文)" w:eastAsia="等线(中文正文)"/>
          <w:b w:val="false"/>
          <w:i w:val="false"/>
          <w:sz w:val="20"/>
        </w:rPr>
        <w:t/>
      </w:r>
    </w:p>
    <w:p>
      <w:pPr>
        <w:pStyle w:val="ab"/>
        <w:numPr>
          <w:numId w:val="13"/>
        </w:numPr>
      </w:pPr>
      <w:r>
        <w:t>35:38 公司业绩增长与参会者提问流程</w:t>
      </w:r>
    </w:p>
    <w:p>
      <w:r>
        <w:rPr>
          <w:rFonts w:ascii="等线(中文正文)" w:hAnsi="等线(中文正文)" w:cs="等线(中文正文)" w:eastAsia="等线(中文正文)"/>
          <w:b w:val="false"/>
          <w:i w:val="false"/>
          <w:sz w:val="20"/>
        </w:rPr>
        <w:t>对话中提到对领导清晰解答的感谢，以及对业绩持续高速增长的祝愿，随后按流程邀请电话尾号0665的参会者提供姓名和机构名后提问，体现了会议的有序进行与对参与者尊重的沟通方式。</w:t>
      </w:r>
    </w:p>
    <w:p>
      <w:r>
        <w:rPr>
          <w:rFonts w:ascii="等线(中文正文)" w:hAnsi="等线(中文正文)" w:cs="等线(中文正文)" w:eastAsia="等线(中文正文)"/>
          <w:b w:val="false"/>
          <w:i w:val="false"/>
          <w:sz w:val="20"/>
        </w:rPr>
        <w:t/>
      </w:r>
    </w:p>
    <w:p>
      <w:pPr>
        <w:pStyle w:val="ab"/>
        <w:numPr>
          <w:numId w:val="14"/>
        </w:numPr>
      </w:pPr>
      <w:r>
        <w:t>36:00 思瑞浦AI数据中心布局与增长潜力探讨</w:t>
      </w:r>
    </w:p>
    <w:p>
      <w:r>
        <w:rPr>
          <w:rFonts w:ascii="等线(中文正文)" w:hAnsi="等线(中文正文)" w:cs="等线(中文正文)" w:eastAsia="等线(中文正文)"/>
          <w:b w:val="false"/>
          <w:i w:val="false"/>
          <w:sz w:val="20"/>
        </w:rPr>
        <w:t>对话围绕思瑞浦在AI数据中心建设方面的布局展开，涉及光通信、服务器及电源等领域的投入与产品规划，展望了AI相关板块的增长潜力。公司计划加强电源领域布局，推出新低噪DCDC、大电流POL等产品，以满足AI算力需求，预计年底有新产品面市。</w:t>
      </w:r>
    </w:p>
    <w:p>
      <w:r>
        <w:rPr>
          <w:rFonts w:ascii="等线(中文正文)" w:hAnsi="等线(中文正文)" w:cs="等线(中文正文)" w:eastAsia="等线(中文正文)"/>
          <w:b w:val="false"/>
          <w:i w:val="false"/>
          <w:sz w:val="20"/>
        </w:rPr>
        <w:t/>
      </w:r>
    </w:p>
    <w:p>
      <w:pPr>
        <w:pStyle w:val="ab"/>
        <w:numPr>
          <w:numId w:val="15"/>
        </w:numPr>
      </w:pPr>
      <w:r>
        <w:t>39:00 行业价格环境与公司策略探讨</w:t>
      </w:r>
    </w:p>
    <w:p>
      <w:r>
        <w:rPr>
          <w:rFonts w:ascii="等线(中文正文)" w:hAnsi="等线(中文正文)" w:cs="等线(中文正文)" w:eastAsia="等线(中文正文)"/>
          <w:b w:val="false"/>
          <w:i w:val="false"/>
          <w:sz w:val="20"/>
        </w:rPr>
        <w:t>对话围绕行业价格环境展开，讨论了市场需求复苏与海外厂商涨价对行业价格优化的影响。公司通过业务结构优化消化成本上涨，部分产品根据市场动态调整，整体价格政策未有普遍调整。未来，公司将综合市场、成本、产能等因素，制定价格策略，持续深耕市场，期待提升业务规模，保持与客户的长期合作。</w:t>
      </w:r>
    </w:p>
    <w:p>
      <w:r>
        <w:rPr>
          <w:rFonts w:ascii="等线(中文正文)" w:hAnsi="等线(中文正文)" w:cs="等线(中文正文)" w:eastAsia="等线(中文正文)"/>
          <w:b w:val="false"/>
          <w:i w:val="false"/>
          <w:sz w:val="20"/>
        </w:rPr>
        <w:t/>
      </w:r>
    </w:p>
    <w:p>
      <w:pPr>
        <w:pStyle w:val="a7"/>
      </w:pPr>
      <w:r>
        <w:t>发言总结</w:t>
      </w:r>
    </w:p>
    <w:p>
      <w:pPr>
        <w:pStyle w:val="ab"/>
        <w:numPr>
          <w:numId w:val="16"/>
        </w:numPr>
      </w:pPr>
      <w:r>
        <w:t>发言人1</w:t>
      </w:r>
    </w:p>
    <w:p>
      <w:r>
        <w:rPr>
          <w:rFonts w:ascii="等线(中文正文)" w:hAnsi="等线(中文正文)" w:cs="等线(中文正文)" w:eastAsia="等线(中文正文)"/>
          <w:b w:val="false"/>
          <w:i w:val="false"/>
          <w:sz w:val="20"/>
        </w:rPr>
        <w:t>报告了公司一季度的业绩亮点，包括净利率提升至15.01%，同比增长11个百分点；一季度出货量达19.06亿颗，同比增长52.58%。产品结构上，信号链芯片和电源管理芯片分别占比69%和31%，且两类产品收入均有显著增长，其中信号链芯片同比增长约69.02%，电源管理芯片同比增长约60.92%。公司持续增加研发投入，一季度研发费用达到1.64亿元，同比增长27.66%，研发费用率为23.31%。截至报告期末，公司专利和技术储备持续增强。在市场需求方面，他概述了工业、通讯、消费和汽车市场的收入占比变化，并对市场需求趋势进行了展望。此外，他回应了多个问题，包括毛利率提升、净利率变化、产能储备、研发投入、人员扩张计划、光模块市场布局、汽车业务发展、以及价格策略，展现了公司稳固的业务发展策略和对未来的积极展望。</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问：公司一季度的业绩表现强劲，能否请您拆解一下各个下游的需求情况以及Q1各个下游的营收占比，并且帮我们展望一下二季度的需求趋势？</w:t>
      </w:r>
    </w:p>
    <w:p>
      <w:r>
        <w:rPr>
          <w:rFonts w:ascii="等线(中文正文)" w:hAnsi="等线(中文正文)" w:cs="等线(中文正文)" w:eastAsia="等线(中文正文)"/>
          <w:b w:val="false"/>
          <w:i w:val="false"/>
          <w:sz w:val="20"/>
        </w:rPr>
        <w:t>发言人1 答：一季度公司的营业收入为7.02亿元，同比增长66.5%，环比增长14.88%。这一业绩得益于下游市场需求释放和公司产品放量份额提升的共同作用。从细分市场来看，第一季度泛工业市场和泛通讯市场的收入均实现了快速的增长。其中，受益于AI需求带动，光模块业务高速增长；服务器业务也快速增长；无线通讯业务因终端需求恢复及客户补库而继续快速增长。汽车市场则得益于产品放量和份额提升，同比实现快速增 长。消费市场虽然手机及IOT业务同比承压，但受益于通用BBMS、移动电源、电子烟、TWS耳机等市场的增长，整体实现了稳健增长。</w:t>
      </w:r>
    </w:p>
    <w:p>
      <w:r>
        <w:rPr>
          <w:rFonts w:ascii="等线(中文正文)" w:hAnsi="等线(中文正文)" w:cs="等线(中文正文)" w:eastAsia="等线(中文正文)"/>
          <w:b w:val="false"/>
          <w:i w:val="false"/>
          <w:sz w:val="20"/>
        </w:rPr>
        <w:t/>
      </w:r>
    </w:p>
    <w:p>
      <w:pPr>
        <w:pStyle w:val="ab"/>
      </w:pPr>
      <w:r>
        <w:t>发言人1 问：您能否提供一下下游市场的收入占比情况以及对第二季度需求展望的见解？</w:t>
      </w:r>
    </w:p>
    <w:p>
      <w:r>
        <w:rPr>
          <w:rFonts w:ascii="等线(中文正文)" w:hAnsi="等线(中文正文)" w:cs="等线(中文正文)" w:eastAsia="等线(中文正文)"/>
          <w:b w:val="false"/>
          <w:i w:val="false"/>
          <w:sz w:val="20"/>
        </w:rPr>
        <w:t>发言人1 答：2025年全年四大下游市场的收入占比分别是：泛工业40%左右，泛通讯25%左右，消费20%左右，汽车15%。而在一季度，各下游市场的收入占比有所变化，工业市场的营收占比约为40%，有同比提升；泛通讯市场的收入占比在25%到30%，同环比均有提升；汽车市场的占比接近15%，保持稳定；消费市场的营收占比约为18%，略有下降。</w:t>
      </w:r>
    </w:p>
    <w:p>
      <w:r>
        <w:rPr>
          <w:rFonts w:ascii="等线(中文正文)" w:hAnsi="等线(中文正文)" w:cs="等线(中文正文)" w:eastAsia="等线(中文正文)"/>
          <w:b w:val="false"/>
          <w:i w:val="false"/>
          <w:sz w:val="20"/>
        </w:rPr>
        <w:t/>
      </w:r>
    </w:p>
    <w:p>
      <w:pPr>
        <w:pStyle w:val="ab"/>
      </w:pPr>
      <w:r>
        <w:t>发言人1 问：第二季度的需求展望如何？</w:t>
      </w:r>
    </w:p>
    <w:p>
      <w:r>
        <w:rPr>
          <w:rFonts w:ascii="等线(中文正文)" w:hAnsi="等线(中文正文)" w:cs="等线(中文正文)" w:eastAsia="等线(中文正文)"/>
          <w:b w:val="false"/>
          <w:i w:val="false"/>
          <w:sz w:val="20"/>
        </w:rPr>
        <w:t>发言人1 答：第二季度的市场需求趋势及订单可见度良好。AI相关市场的景气度将持续，受益于市场的深耕及自身产品份额的提升，工业和汽车市场的业务规模有望继续成长。在消费市场方面，公司将争取实现稳健表现。今年AI相关业务的高增可能会使季节间波动特征被平滑掉一些。公司仍将立足长期主义，持续夯实平台化能力，在稳住业务基本盘的同时，积极培养多元增长曲线，优化增长结构，争取实现稳健高质量增长。</w:t>
      </w:r>
    </w:p>
    <w:p>
      <w:r>
        <w:rPr>
          <w:rFonts w:ascii="等线(中文正文)" w:hAnsi="等线(中文正文)" w:cs="等线(中文正文)" w:eastAsia="等线(中文正文)"/>
          <w:b w:val="false"/>
          <w:i w:val="false"/>
          <w:sz w:val="20"/>
        </w:rPr>
        <w:t/>
      </w:r>
    </w:p>
    <w:p>
      <w:pPr>
        <w:pStyle w:val="ab"/>
      </w:pPr>
      <w:r>
        <w:t>发言人1 问：公司今年在哪些方面会进一步加大投入以持续夯实关键能力？</w:t>
      </w:r>
    </w:p>
    <w:p>
      <w:r>
        <w:rPr>
          <w:rFonts w:ascii="等线(中文正文)" w:hAnsi="等线(中文正文)" w:cs="等线(中文正文)" w:eastAsia="等线(中文正文)"/>
          <w:b w:val="false"/>
          <w:i w:val="false"/>
          <w:sz w:val="20"/>
        </w:rPr>
        <w:t>发言人1 答：公司今年将在团队扩张、产品研发、市场拓展以及工业建设等多个方面进一步加大投入。</w:t>
      </w:r>
    </w:p>
    <w:p>
      <w:r>
        <w:rPr>
          <w:rFonts w:ascii="等线(中文正文)" w:hAnsi="等线(中文正文)" w:cs="等线(中文正文)" w:eastAsia="等线(中文正文)"/>
          <w:b w:val="false"/>
          <w:i w:val="false"/>
          <w:sz w:val="20"/>
        </w:rPr>
        <w:t/>
      </w:r>
    </w:p>
    <w:p>
      <w:pPr>
        <w:pStyle w:val="ab"/>
      </w:pPr>
      <w:r>
        <w:t>发言人1 问：全年净利润净利率水平预计会较2025年度有何变化？</w:t>
      </w:r>
    </w:p>
    <w:p>
      <w:r>
        <w:rPr>
          <w:rFonts w:ascii="等线(中文正文)" w:hAnsi="等线(中文正文)" w:cs="等线(中文正文)" w:eastAsia="等线(中文正文)"/>
          <w:b w:val="false"/>
          <w:i w:val="false"/>
          <w:sz w:val="20"/>
        </w:rPr>
        <w:t>发言人1 答：全年净利润净利率水平预估将较2025年度得到显著提升，但季度间净利润率可能会因收入结构和费用投入节奏动态变化而有所波动。公司会结合经营计划和市场变化进行动态调整，力求实现相对稳健的表现。</w:t>
      </w:r>
    </w:p>
    <w:p>
      <w:r>
        <w:rPr>
          <w:rFonts w:ascii="等线(中文正文)" w:hAnsi="等线(中文正文)" w:cs="等线(中文正文)" w:eastAsia="等线(中文正文)"/>
          <w:b w:val="false"/>
          <w:i w:val="false"/>
          <w:sz w:val="20"/>
        </w:rPr>
        <w:t/>
      </w:r>
    </w:p>
    <w:p>
      <w:pPr>
        <w:pStyle w:val="ab"/>
      </w:pPr>
      <w:r>
        <w:t>发言人1 问：公司目前在光模块市场的产品布局以及一季度光模块业务增长情况如何？</w:t>
      </w:r>
    </w:p>
    <w:p>
      <w:r>
        <w:rPr>
          <w:rFonts w:ascii="等线(中文正文)" w:hAnsi="等线(中文正文)" w:cs="等线(中文正文)" w:eastAsia="等线(中文正文)"/>
          <w:b w:val="false"/>
          <w:i w:val="false"/>
          <w:sz w:val="20"/>
        </w:rPr>
        <w:t>发言人1 答：公司在光模块市场已拥有丰富的ABCDAC产品线，包括FE产品和DCDC接口线性产品等，并已在光模块市场规模出货。其中，重点产品的份额逐步提升，技术壁垒较高，且市场空间较大。新产品系列也在加速开发中，预计今年下半年推出。一季度受益于客户需求旺盛，光模块市场业务实现了高速成长，全年营收占比预计会实现较大提升。</w:t>
      </w:r>
    </w:p>
    <w:p>
      <w:r>
        <w:rPr>
          <w:rFonts w:ascii="等线(中文正文)" w:hAnsi="等线(中文正文)" w:cs="等线(中文正文)" w:eastAsia="等线(中文正文)"/>
          <w:b w:val="false"/>
          <w:i w:val="false"/>
          <w:sz w:val="20"/>
        </w:rPr>
        <w:t/>
      </w:r>
    </w:p>
    <w:p>
      <w:pPr>
        <w:pStyle w:val="ab"/>
      </w:pPr>
      <w:r>
        <w:t>发言人1 问：公司在工业市场的感受及一季度哪些细分领域有较好的需求拉动？</w:t>
      </w:r>
    </w:p>
    <w:p>
      <w:r>
        <w:rPr>
          <w:rFonts w:ascii="等线(中文正文)" w:hAnsi="等线(中文正文)" w:cs="等线(中文正文)" w:eastAsia="等线(中文正文)"/>
          <w:b w:val="false"/>
          <w:i w:val="false"/>
          <w:sz w:val="20"/>
        </w:rPr>
        <w:t>发言人1 答：公司在工业市场作为国内模拟公司具有较高占比，业务长期稳定成长的重要基石。在过去几年中，通过持续加强产品储备与客户拓展，已完成了泛工业领域的广泛覆盖，客户数量超过六千多家，产品种类两千多款。2025年一季度，工市场整体需求复苏，收入规模持续快速增长，其中在新能源电力测试测量等多个细分市场的产品方案进一步完善，份额稳步提升，且在多个方向同比实现了降本增长。</w:t>
      </w:r>
    </w:p>
    <w:p>
      <w:r>
        <w:rPr>
          <w:rFonts w:ascii="等线(中文正文)" w:hAnsi="等线(中文正文)" w:cs="等线(中文正文)" w:eastAsia="等线(中文正文)"/>
          <w:b w:val="false"/>
          <w:i w:val="false"/>
          <w:sz w:val="20"/>
        </w:rPr>
        <w:t/>
      </w:r>
    </w:p>
    <w:p>
      <w:pPr>
        <w:pStyle w:val="ab"/>
      </w:pPr>
      <w:r>
        <w:t>发言人1 问：公司如何应对当前晶圆产能紧张以及成本端价格的情况？</w:t>
      </w:r>
    </w:p>
    <w:p>
      <w:r>
        <w:rPr>
          <w:rFonts w:ascii="等线(中文正文)" w:hAnsi="等线(中文正文)" w:cs="等线(中文正文)" w:eastAsia="等线(中文正文)"/>
          <w:b w:val="false"/>
          <w:i w:val="false"/>
          <w:sz w:val="20"/>
        </w:rPr>
        <w:t>发言人1 答：在成本端，尽管一季度报表中受到一定影响有限，但随着市场需求释放和产能紧张加剧，后续成本端涨价趋势尚需动态跟踪。对于产能储备和应对措施，公司正积极采取多种方式加强备货，截至2026年第一季度末存货账面价值增长显著；深化与核心供应商沟通合作，拓展新增供应链资源；加快构建自身families能力，通过COT工艺及自有测试产能建设补充关键产能，例如中低压系列产品已开始释放产能，中高压产品进展加速，争取年底前全部落地；苏州自有测试场一期接近满载，二期工程预计六月份完成，以增强整个供应链韧性。</w:t>
      </w:r>
    </w:p>
    <w:p>
      <w:r>
        <w:rPr>
          <w:rFonts w:ascii="等线(中文正文)" w:hAnsi="等线(中文正文)" w:cs="等线(中文正文)" w:eastAsia="等线(中文正文)"/>
          <w:b w:val="false"/>
          <w:i w:val="false"/>
          <w:sz w:val="20"/>
        </w:rPr>
        <w:t/>
      </w:r>
    </w:p>
    <w:p>
      <w:pPr>
        <w:pStyle w:val="ab"/>
      </w:pPr>
      <w:r>
        <w:t>发言人1 问：公司今年的人员扩招计划及招聘规模、岗位方向是什么样的？</w:t>
      </w:r>
    </w:p>
    <w:p>
      <w:r>
        <w:rPr>
          <w:rFonts w:ascii="等线(中文正文)" w:hAnsi="等线(中文正文)" w:cs="等线(中文正文)" w:eastAsia="等线(中文正文)"/>
          <w:b w:val="false"/>
          <w:i w:val="false"/>
          <w:sz w:val="20"/>
        </w:rPr>
        <w:t>发言人1 答：（未给出直接回答，需进一步沟通获取详细信息）</w:t>
      </w:r>
    </w:p>
    <w:p>
      <w:r>
        <w:rPr>
          <w:rFonts w:ascii="等线(中文正文)" w:hAnsi="等线(中文正文)" w:cs="等线(中文正文)" w:eastAsia="等线(中文正文)"/>
          <w:b w:val="false"/>
          <w:i w:val="false"/>
          <w:sz w:val="20"/>
        </w:rPr>
        <w:t/>
      </w:r>
    </w:p>
    <w:p>
      <w:pPr>
        <w:pStyle w:val="ab"/>
      </w:pPr>
      <w:r>
        <w:t>发言人1 问：公司今年在外延方面的拓展有没有什么新的规划或者进展可以跟投资者分享？</w:t>
      </w:r>
    </w:p>
    <w:p>
      <w:r>
        <w:rPr>
          <w:rFonts w:ascii="等线(中文正文)" w:hAnsi="等线(中文正文)" w:cs="等线(中文正文)" w:eastAsia="等线(中文正文)"/>
          <w:b w:val="false"/>
          <w:i w:val="false"/>
          <w:sz w:val="20"/>
        </w:rPr>
        <w:t>发言人1 答：公司一直在寻找合适的外援机会，围绕技术互补、市场协同、产业链延伸的维度，持续寻找强协同的战略投资或并购机会，以扩大公司规模效应、补足关键能力并夯实模拟平台的长期竞争力。后续若有新进展，公司会及时通过公告告知。</w:t>
      </w:r>
    </w:p>
    <w:p>
      <w:r>
        <w:rPr>
          <w:rFonts w:ascii="等线(中文正文)" w:hAnsi="等线(中文正文)" w:cs="等线(中文正文)" w:eastAsia="等线(中文正文)"/>
          <w:b w:val="false"/>
          <w:i w:val="false"/>
          <w:sz w:val="20"/>
        </w:rPr>
        <w:t/>
      </w:r>
    </w:p>
    <w:p>
      <w:pPr>
        <w:pStyle w:val="ab"/>
      </w:pPr>
      <w:r>
        <w:t>发言人1 问：在AI数据中心建设方面，除了光通信之外，能否分享一下公司在服务器及其他方面的布局以及未来对该板块的增长潜力怎么看？</w:t>
      </w:r>
    </w:p>
    <w:p>
      <w:r>
        <w:rPr>
          <w:rFonts w:ascii="等线(中文正文)" w:hAnsi="等线(中文正文)" w:cs="等线(中文正文)" w:eastAsia="等线(中文正文)"/>
          <w:b w:val="false"/>
          <w:i w:val="false"/>
          <w:sz w:val="20"/>
        </w:rPr>
        <w:t>发言人1 答：公司从去年至未来将重点投入AI加领域，特别是在光模块方面已有较强跟进，并且在AI算力产品如电流检测及高速接口产品等也有规模出货。公司在电源管理方面进行了强烈布局，包含特殊应用的低噪DCDC、大电流POL等产品，针对当前工艺节点下降导致的动态响应要求高的新技术点进行加速投入。预计今年年底将推出一系列新产品，进一步夯实公司在AI算力领域的布局。</w:t>
      </w:r>
    </w:p>
    <w:p>
      <w:r>
        <w:rPr>
          <w:rFonts w:ascii="等线(中文正文)" w:hAnsi="等线(中文正文)" w:cs="等线(中文正文)" w:eastAsia="等线(中文正文)"/>
          <w:b w:val="false"/>
          <w:i w:val="false"/>
          <w:sz w:val="20"/>
        </w:rPr>
        <w:t/>
      </w:r>
    </w:p>
    <w:p>
      <w:pPr>
        <w:pStyle w:val="ab"/>
      </w:pPr>
      <w:r>
        <w:t>发言人1 问：公司目前感受到整个市场的价格环境如何？以及公司在价格政策方面是如何考虑的？</w:t>
      </w:r>
    </w:p>
    <w:p>
      <w:r>
        <w:rPr>
          <w:rFonts w:ascii="等线(中文正文)" w:hAnsi="等线(中文正文)" w:cs="等线(中文正文)" w:eastAsia="等线(中文正文)"/>
          <w:b w:val="false"/>
          <w:i w:val="false"/>
          <w:sz w:val="20"/>
        </w:rPr>
        <w:t>发言人1 答：市场的需求复苏及海外厂商涨价，使得整个行业整体价格环境在近两年有明显优化。尽管公司前期成本端有所上涨，但通过业务结构优化消化了相关影响，部分产品根据市场情况做了动态调整。当前看整体价格政策未出现普遍调整。公司将继续深耕市场，提升业务规模，在价格方面秉持与客户长期合作的精神，综合考虑市场需求、成本变化、产能状况等因素动态评估并制定未来价格策略。</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2026-04-27T15:15:24Z</dcterms:created>
  <dc:creator>Apache POI</dc:creator>
</cp:coreProperties>
</file>