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爱博医疗 250423_导读</w:t>
      </w:r>
    </w:p>
    <w:p>
      <w:pPr>
        <w:pStyle w:val="a0"/>
        <w:jc w:val="center"/>
      </w:pPr>
      <w:r>
        <w:t>2026年04月27日 07:46</w:t>
      </w:r>
    </w:p>
    <w:p>
      <w:pPr>
        <w:pStyle w:val="a7"/>
      </w:pPr>
      <w:r>
        <w:t>关键词</w:t>
      </w:r>
    </w:p>
    <w:p>
      <w:r>
        <w:rPr>
          <w:rFonts w:ascii="等线(中文正文)" w:hAnsi="等线(中文正文)" w:cs="等线(中文正文)" w:eastAsia="等线(中文正文)"/>
          <w:b w:val="false"/>
          <w:i w:val="false"/>
          <w:sz w:val="20"/>
        </w:rPr>
        <w:t xml:space="preserve">爱博医疗 郭总 谢江斌 财务指标 净利润 美瞳 人工晶体 德美医疗 并购 生物材料 眼科 运动医学 P2产品 散光 集采 技术创新 销售费用 资产减值 良率 江苏天眼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爱博医疗在2025年度及2026年第一季度业绩交流会上，展示了公司面对医保支付改革带来的挑战，如产品线增速放缓及净利润首次负增长。尽管如此，公司依旧保持对国内高端人工经济体市场的乐观态度，尤其强调了新产品的市场认可度。爱博医疗坚持技术创新，新增专利61项，并成功获得产品注册证书，推动了国内外市场的拓展。财务总监汇报了财务状况，指出净利润下降的原因，并强调公司经营现金流的健康状态。管理层与投资者深入交流了应对策略，包括产品定价、海外市场布局、以及如何通过持续的技术创新和产品优化来应对市场的变化，展现了对未来发展的积极预期。整个交流会体现了公司对当前挑战的清醒认识和对未来的坚定信心，强调了与投资人保持良好沟通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爱博医疗2025年度及2026年Q1业绩汇报</w:t>
      </w:r>
    </w:p>
    <w:p>
      <w:r>
        <w:rPr>
          <w:rFonts w:ascii="等线(中文正文)" w:hAnsi="等线(中文正文)" w:cs="等线(中文正文)" w:eastAsia="等线(中文正文)"/>
          <w:b w:val="false"/>
          <w:i w:val="false"/>
          <w:sz w:val="20"/>
        </w:rPr>
        <w:t>公司2025年度受医保改革及市场需求影响，业绩增速放缓，净利润首次负增长，但技术创新持续，新增专利61项，取得重要产品认证。2026年Q1完成德美医疗收购，拓展医疗健康领域。财务指标显示，公司在挑战中寻找机遇，强化市场布局与技术领先。</w:t>
      </w:r>
    </w:p>
    <w:p>
      <w:r>
        <w:rPr>
          <w:rFonts w:ascii="等线(中文正文)" w:hAnsi="等线(中文正文)" w:cs="等线(中文正文)" w:eastAsia="等线(中文正文)"/>
          <w:b w:val="false"/>
          <w:i w:val="false"/>
          <w:sz w:val="20"/>
        </w:rPr>
        <w:t/>
      </w:r>
    </w:p>
    <w:p>
      <w:pPr>
        <w:pStyle w:val="ab"/>
        <w:numPr>
          <w:numId w:val="2"/>
        </w:numPr>
      </w:pPr>
      <w:r>
        <w:t>01:42 2025年度公司财务表现与市场策略分析</w:t>
      </w:r>
    </w:p>
    <w:p>
      <w:r>
        <w:rPr>
          <w:rFonts w:ascii="等线(中文正文)" w:hAnsi="等线(中文正文)" w:cs="等线(中文正文)" w:eastAsia="等线(中文正文)"/>
          <w:b w:val="false"/>
          <w:i w:val="false"/>
          <w:sz w:val="20"/>
        </w:rPr>
        <w:t>2025年度公司营业收入为14.83亿元，同比增长5.15%，但净利润受资产减值准备及销售费用增加影响，同比下降30.96%。其中，晶体收入受国家集采影响增速放缓，角膜接触镜收入增长6.26%，营业净收入增长7.53%。境外收入增长126%，主要得益于高端产品认可及德国公司并购。一季度收入3.98亿元，同比增长11.5%，净利润同比减少3.55%。公司正通过提升工艺降低成本，拓展自有渠道应对电商价格竞争，维持毛利率稳定。</w:t>
      </w:r>
    </w:p>
    <w:p>
      <w:r>
        <w:rPr>
          <w:rFonts w:ascii="等线(中文正文)" w:hAnsi="等线(中文正文)" w:cs="等线(中文正文)" w:eastAsia="等线(中文正文)"/>
          <w:b w:val="false"/>
          <w:i w:val="false"/>
          <w:sz w:val="20"/>
        </w:rPr>
        <w:t/>
      </w:r>
    </w:p>
    <w:p>
      <w:pPr>
        <w:pStyle w:val="ab"/>
        <w:numPr>
          <w:numId w:val="3"/>
        </w:numPr>
      </w:pPr>
      <w:r>
        <w:t>05:12 美瞳行业回暖与公司产能规划</w:t>
      </w:r>
    </w:p>
    <w:p>
      <w:r>
        <w:rPr>
          <w:rFonts w:ascii="等线(中文正文)" w:hAnsi="等线(中文正文)" w:cs="等线(中文正文)" w:eastAsia="等线(中文正文)"/>
          <w:b w:val="false"/>
          <w:i w:val="false"/>
          <w:sz w:val="20"/>
        </w:rPr>
        <w:t>管理层分享了美瞳行业自去年以来的销售压力及今年一季度的回暖迹象，强调公司通过工艺改进和产能规模扩大有效控制成本，弥补价格下降的影响。同时，公司正积极观察市场情况，评估是否需要进一步拓展产能，并持续利用在人工晶体、角膜塑形镜等领域的技术优势，开发新品，以增强市场竞争力。</w:t>
      </w:r>
    </w:p>
    <w:p>
      <w:r>
        <w:rPr>
          <w:rFonts w:ascii="等线(中文正文)" w:hAnsi="等线(中文正文)" w:cs="等线(中文正文)" w:eastAsia="等线(中文正文)"/>
          <w:b w:val="false"/>
          <w:i w:val="false"/>
          <w:sz w:val="20"/>
        </w:rPr>
        <w:t/>
      </w:r>
    </w:p>
    <w:p>
      <w:pPr>
        <w:pStyle w:val="ab"/>
        <w:numPr>
          <w:numId w:val="4"/>
        </w:numPr>
      </w:pPr>
      <w:r>
        <w:t>07:51 收购德美与公司增长来源分析</w:t>
      </w:r>
    </w:p>
    <w:p>
      <w:r>
        <w:rPr>
          <w:rFonts w:ascii="等线(中文正文)" w:hAnsi="等线(中文正文)" w:cs="等线(中文正文)" w:eastAsia="等线(中文正文)"/>
          <w:b w:val="false"/>
          <w:i w:val="false"/>
          <w:sz w:val="20"/>
        </w:rPr>
        <w:t>讨论了收购德美对于公司生物材料领域拓展的意义，强调了德美在运动医学领域的市场地位及进口替代潜力，同时分析了眼科主业与生物材料领域未来增长的可能结构，指出两者增长将取决于技术进展、产品开发及市场环境。</w:t>
      </w:r>
    </w:p>
    <w:p>
      <w:r>
        <w:rPr>
          <w:rFonts w:ascii="等线(中文正文)" w:hAnsi="等线(中文正文)" w:cs="等线(中文正文)" w:eastAsia="等线(中文正文)"/>
          <w:b w:val="false"/>
          <w:i w:val="false"/>
          <w:sz w:val="20"/>
        </w:rPr>
        <w:t/>
      </w:r>
    </w:p>
    <w:p>
      <w:pPr>
        <w:pStyle w:val="ab"/>
        <w:numPr>
          <w:numId w:val="5"/>
        </w:numPr>
      </w:pPr>
      <w:r>
        <w:t>10:32 P2产品收入与PRT临床进展讨论</w:t>
      </w:r>
    </w:p>
    <w:p>
      <w:r>
        <w:rPr>
          <w:rFonts w:ascii="等线(中文正文)" w:hAnsi="等线(中文正文)" w:cs="等线(中文正文)" w:eastAsia="等线(中文正文)"/>
          <w:b w:val="false"/>
          <w:i w:val="false"/>
          <w:sz w:val="20"/>
        </w:rPr>
        <w:t>对话讨论了P2产品在25年及26年Q1的收入预期，以及PRT产品临床实验进展和未来获批时间。P2产品去年表现符合预期，光学性能优越，已完成医生培训和市场教育，为未来销售奠定基础。PRT产品已完成临床入组，正处随访阶段，预计两年内获批，将提升市场推广能力。</w:t>
      </w:r>
    </w:p>
    <w:p>
      <w:r>
        <w:rPr>
          <w:rFonts w:ascii="等线(中文正文)" w:hAnsi="等线(中文正文)" w:cs="等线(中文正文)" w:eastAsia="等线(中文正文)"/>
          <w:b w:val="false"/>
          <w:i w:val="false"/>
          <w:sz w:val="20"/>
        </w:rPr>
        <w:t/>
      </w:r>
    </w:p>
    <w:p>
      <w:pPr>
        <w:pStyle w:val="ab"/>
        <w:numPr>
          <w:numId w:val="6"/>
        </w:numPr>
      </w:pPr>
      <w:r>
        <w:t>13:02 晶体国产化与新产品销售预期</w:t>
      </w:r>
    </w:p>
    <w:p>
      <w:r>
        <w:rPr>
          <w:rFonts w:ascii="等线(中文正文)" w:hAnsi="等线(中文正文)" w:cs="等线(中文正文)" w:eastAsia="等线(中文正文)"/>
          <w:b w:val="false"/>
          <w:i w:val="false"/>
          <w:sz w:val="20"/>
        </w:rPr>
        <w:t>对话围绕晶体国产化的新一轮预期展开，提及第二轮国采可能于下半年启动，现有双胶晶体等新产品销售表现良好，性能获医生认可，全景产品有望赶上集采，带来利润增长点。</w:t>
      </w:r>
    </w:p>
    <w:p>
      <w:r>
        <w:rPr>
          <w:rFonts w:ascii="等线(中文正文)" w:hAnsi="等线(中文正文)" w:cs="等线(中文正文)" w:eastAsia="等线(中文正文)"/>
          <w:b w:val="false"/>
          <w:i w:val="false"/>
          <w:sz w:val="20"/>
        </w:rPr>
        <w:t/>
      </w:r>
    </w:p>
    <w:p>
      <w:pPr>
        <w:pStyle w:val="ab"/>
        <w:numPr>
          <w:numId w:val="7"/>
        </w:numPr>
      </w:pPr>
      <w:r>
        <w:t>14:44 公司工业与美厨业务产能及良率提升</w:t>
      </w:r>
    </w:p>
    <w:p>
      <w:r>
        <w:rPr>
          <w:rFonts w:ascii="等线(中文正文)" w:hAnsi="等线(中文正文)" w:cs="等线(中文正文)" w:eastAsia="等线(中文正文)"/>
          <w:b w:val="false"/>
          <w:i w:val="false"/>
          <w:sz w:val="20"/>
        </w:rPr>
        <w:t>讨论了公司产品在欧洲市场的认可度及其对工业业务的潜在增长影响，重点介绍了美厨业务中两家代工厂的产能利用率与良率提升情况。江苏天眼工厂通过工艺与管理改进，良率从60-70%提升至80-85%，北京工厂亦有显著改善，对客户交付、产量及成本控制产生积极影响。</w:t>
      </w:r>
    </w:p>
    <w:p>
      <w:r>
        <w:rPr>
          <w:rFonts w:ascii="等线(中文正文)" w:hAnsi="等线(中文正文)" w:cs="等线(中文正文)" w:eastAsia="等线(中文正文)"/>
          <w:b w:val="false"/>
          <w:i w:val="false"/>
          <w:sz w:val="20"/>
        </w:rPr>
        <w:t/>
      </w:r>
    </w:p>
    <w:p>
      <w:pPr>
        <w:pStyle w:val="ab"/>
        <w:numPr>
          <w:numId w:val="8"/>
        </w:numPr>
      </w:pPr>
      <w:r>
        <w:t>16:32 农金产品市场需求与高端定价策略探讨</w:t>
      </w:r>
    </w:p>
    <w:p>
      <w:r>
        <w:rPr>
          <w:rFonts w:ascii="等线(中文正文)" w:hAnsi="等线(中文正文)" w:cs="等线(中文正文)" w:eastAsia="等线(中文正文)"/>
          <w:b w:val="false"/>
          <w:i w:val="false"/>
          <w:sz w:val="20"/>
        </w:rPr>
        <w:t>对话围绕农金产品在市场需求恢复、高端定价接受度及产品推广阶段的挑战展开。提及高端消费市场表现疲软，新上市产品处于推广与教育阶段，难以直接归因于消费环境影响。公司策略聚焦于产品性能与定价的平衡，旨在通过性价比吸引市场，同时面临竞品品牌效应与医生认可度的长期培育挑战。</w:t>
      </w:r>
    </w:p>
    <w:p>
      <w:r>
        <w:rPr>
          <w:rFonts w:ascii="等线(中文正文)" w:hAnsi="等线(中文正文)" w:cs="等线(中文正文)" w:eastAsia="等线(中文正文)"/>
          <w:b w:val="false"/>
          <w:i w:val="false"/>
          <w:sz w:val="20"/>
        </w:rPr>
        <w:t/>
      </w:r>
    </w:p>
    <w:p>
      <w:pPr>
        <w:pStyle w:val="ab"/>
        <w:numPr>
          <w:numId w:val="9"/>
        </w:numPr>
      </w:pPr>
      <w:r>
        <w:t>20:09 医美行业产品布局与市场策略讨论</w:t>
      </w:r>
    </w:p>
    <w:p>
      <w:r>
        <w:rPr>
          <w:rFonts w:ascii="等线(中文正文)" w:hAnsi="等线(中文正文)" w:cs="等线(中文正文)" w:eastAsia="等线(中文正文)"/>
          <w:b w:val="false"/>
          <w:i w:val="false"/>
          <w:sz w:val="20"/>
        </w:rPr>
        <w:t>对话围绕医美行业的产品布局展开，重点讨论了玻尿酸产品的研发进展及市场策略。公司已布局多款玻尿酸产品，包括交联与水光类型，并在技术上具有特色与优势。面对激烈的市场竞争，公司正开发基于多细胞机制的新型注射产品，预计未来几年将陆续获批。整体销售策略将根据市场变化灵活调整，目前未详细披露具体计划。</w:t>
      </w:r>
    </w:p>
    <w:p>
      <w:r>
        <w:rPr>
          <w:rFonts w:ascii="等线(中文正文)" w:hAnsi="等线(中文正文)" w:cs="等线(中文正文)" w:eastAsia="等线(中文正文)"/>
          <w:b w:val="false"/>
          <w:i w:val="false"/>
          <w:sz w:val="20"/>
        </w:rPr>
        <w:t/>
      </w:r>
    </w:p>
    <w:p>
      <w:pPr>
        <w:pStyle w:val="ab"/>
        <w:numPr>
          <w:numId w:val="10"/>
        </w:numPr>
      </w:pPr>
      <w:r>
        <w:t>22:53 产品定价策略与消费者选择影响分析</w:t>
      </w:r>
    </w:p>
    <w:p>
      <w:r>
        <w:rPr>
          <w:rFonts w:ascii="等线(中文正文)" w:hAnsi="等线(中文正文)" w:cs="等线(中文正文)" w:eastAsia="等线(中文正文)"/>
          <w:b w:val="false"/>
          <w:i w:val="false"/>
          <w:sz w:val="20"/>
        </w:rPr>
        <w:t>讨论了在近视手术产品中，不同定价策略对消费者选择的影响，特别是针对价格不敏感的高端消费者，强调了产品差异化和销售策略的重要性，指出定价需综合考虑市场定位和产品特性，没有万能的定价公式。</w:t>
      </w:r>
    </w:p>
    <w:p>
      <w:r>
        <w:rPr>
          <w:rFonts w:ascii="等线(中文正文)" w:hAnsi="等线(中文正文)" w:cs="等线(中文正文)" w:eastAsia="等线(中文正文)"/>
          <w:b w:val="false"/>
          <w:i w:val="false"/>
          <w:sz w:val="20"/>
        </w:rPr>
        <w:t/>
      </w:r>
    </w:p>
    <w:p>
      <w:pPr>
        <w:pStyle w:val="ab"/>
        <w:numPr>
          <w:numId w:val="11"/>
        </w:numPr>
      </w:pPr>
      <w:r>
        <w:t>24:56 德美与国美海外拓展经验分享及未来规划</w:t>
      </w:r>
    </w:p>
    <w:p>
      <w:r>
        <w:rPr>
          <w:rFonts w:ascii="等线(中文正文)" w:hAnsi="等线(中文正文)" w:cs="等线(中文正文)" w:eastAsia="等线(中文正文)"/>
          <w:b w:val="false"/>
          <w:i w:val="false"/>
          <w:sz w:val="20"/>
        </w:rPr>
        <w:t>对话围绕德美与国美海外市场的拓展经验展开，分享了海外产品注册、销售团队建设、本地化策略及产品应用差异等经验。双方探讨了共用资源的可能性，但强调销售团队将保持独立运作。国美眼科产品在海外市场取得显著成绩，高端晶体产品接受度高，利润可观。未来计划在更多国家获得市场准入，预期海外市场将持续增长。</w:t>
      </w:r>
    </w:p>
    <w:p>
      <w:r>
        <w:rPr>
          <w:rFonts w:ascii="等线(中文正文)" w:hAnsi="等线(中文正文)" w:cs="等线(中文正文)" w:eastAsia="等线(中文正文)"/>
          <w:b w:val="false"/>
          <w:i w:val="false"/>
          <w:sz w:val="20"/>
        </w:rPr>
        <w:t/>
      </w:r>
    </w:p>
    <w:p>
      <w:pPr>
        <w:pStyle w:val="ab"/>
        <w:numPr>
          <w:numId w:val="12"/>
        </w:numPr>
      </w:pPr>
      <w:r>
        <w:t>27:51 白内障手术量政策影响及未来趋势探讨</w:t>
      </w:r>
    </w:p>
    <w:p>
      <w:r>
        <w:rPr>
          <w:rFonts w:ascii="等线(中文正文)" w:hAnsi="等线(中文正文)" w:cs="等线(中文正文)" w:eastAsia="等线(中文正文)"/>
          <w:b w:val="false"/>
          <w:i w:val="false"/>
          <w:sz w:val="20"/>
        </w:rPr>
        <w:t>讨论了白内障手术量受政策影响的情况，指出当前市场未见明显增长，政策限制如DRG和基层筛查仍未放松。预计小型医疗机构因经营困难而清退已接近尾声，但市场见底时间不确定。公立医院手术量稳定或上升，大型民营连锁集团的报表将更清晰地反映未来业务趋势。</w:t>
      </w:r>
    </w:p>
    <w:p>
      <w:r>
        <w:rPr>
          <w:rFonts w:ascii="等线(中文正文)" w:hAnsi="等线(中文正文)" w:cs="等线(中文正文)" w:eastAsia="等线(中文正文)"/>
          <w:b w:val="false"/>
          <w:i w:val="false"/>
          <w:sz w:val="20"/>
        </w:rPr>
        <w:t/>
      </w:r>
    </w:p>
    <w:p>
      <w:pPr>
        <w:pStyle w:val="ab"/>
        <w:numPr>
          <w:numId w:val="13"/>
        </w:numPr>
      </w:pPr>
      <w:r>
        <w:t>30:09 硅水凝胶产品产能规划与市场推广策略</w:t>
      </w:r>
    </w:p>
    <w:p>
      <w:r>
        <w:rPr>
          <w:rFonts w:ascii="等线(中文正文)" w:hAnsi="等线(中文正文)" w:cs="等线(中文正文)" w:eastAsia="等线(中文正文)"/>
          <w:b w:val="false"/>
          <w:i w:val="false"/>
          <w:sz w:val="20"/>
        </w:rPr>
        <w:t>讨论了硅水凝胶产品去年的销售情况及今年的产能规划，强调了技术优势与市场推广计划，预计通过自有渠道加大硅水凝胶彩片的市场推广，以应对当前消费环境偏弱的挑战。</w:t>
      </w:r>
    </w:p>
    <w:p>
      <w:r>
        <w:rPr>
          <w:rFonts w:ascii="等线(中文正文)" w:hAnsi="等线(中文正文)" w:cs="等线(中文正文)" w:eastAsia="等线(中文正文)"/>
          <w:b w:val="false"/>
          <w:i w:val="false"/>
          <w:sz w:val="20"/>
        </w:rPr>
        <w:t/>
      </w:r>
    </w:p>
    <w:p>
      <w:pPr>
        <w:pStyle w:val="ab"/>
        <w:numPr>
          <w:numId w:val="14"/>
        </w:numPr>
      </w:pPr>
      <w:r>
        <w:t>32:20 自有品牌销售与毛利率波动分析</w:t>
      </w:r>
    </w:p>
    <w:p>
      <w:r>
        <w:rPr>
          <w:rFonts w:ascii="等线(中文正文)" w:hAnsi="等线(中文正文)" w:cs="等线(中文正文)" w:eastAsia="等线(中文正文)"/>
          <w:b w:val="false"/>
          <w:i w:val="false"/>
          <w:sz w:val="20"/>
        </w:rPr>
        <w:t>对话围绕自有品牌销售占比及毛利率下降原因展开，提到疫情下自有品牌销售占比约45-50%，目标超过50%。毛利率下降主要因隐形眼镜和人工晶体销售价格降低，但成本控制改善。电商平台竞争加剧，自有品牌初期需以价格吸引销量，品牌知名度和客户群体尚待提升。未来将通过品牌宣传和渠道建设提升自有品牌占比。</w:t>
      </w:r>
    </w:p>
    <w:p>
      <w:r>
        <w:rPr>
          <w:rFonts w:ascii="等线(中文正文)" w:hAnsi="等线(中文正文)" w:cs="等线(中文正文)" w:eastAsia="等线(中文正文)"/>
          <w:b w:val="false"/>
          <w:i w:val="false"/>
          <w:sz w:val="20"/>
        </w:rPr>
        <w:t/>
      </w:r>
    </w:p>
    <w:p>
      <w:pPr>
        <w:pStyle w:val="ab"/>
        <w:numPr>
          <w:numId w:val="15"/>
        </w:numPr>
      </w:pPr>
      <w:r>
        <w:t>36:09 应收账款增长及财务费用展望</w:t>
      </w:r>
    </w:p>
    <w:p>
      <w:r>
        <w:rPr>
          <w:rFonts w:ascii="等线(中文正文)" w:hAnsi="等线(中文正文)" w:cs="等线(中文正文)" w:eastAsia="等线(中文正文)"/>
          <w:b w:val="false"/>
          <w:i w:val="false"/>
          <w:sz w:val="20"/>
        </w:rPr>
        <w:t>对话围绕应收账款的大幅增长展开，讨论了增长原因，包括德美并购的影响及一季度传统回款特性。同时，提及了未来财务费用的可控性及资产负债率的预期。</w:t>
      </w:r>
    </w:p>
    <w:p>
      <w:r>
        <w:rPr>
          <w:rFonts w:ascii="等线(中文正文)" w:hAnsi="等线(中文正文)" w:cs="等线(中文正文)" w:eastAsia="等线(中文正文)"/>
          <w:b w:val="false"/>
          <w:i w:val="false"/>
          <w:sz w:val="20"/>
        </w:rPr>
        <w:t/>
      </w:r>
    </w:p>
    <w:p>
      <w:pPr>
        <w:pStyle w:val="ab"/>
        <w:numPr>
          <w:numId w:val="16"/>
        </w:numPr>
      </w:pPr>
      <w:r>
        <w:t>38:41 医疗与消费双轮驱动下的营收端战略定位</w:t>
      </w:r>
    </w:p>
    <w:p>
      <w:r>
        <w:rPr>
          <w:rFonts w:ascii="等线(中文正文)" w:hAnsi="等线(中文正文)" w:cs="等线(中文正文)" w:eastAsia="等线(中文正文)"/>
          <w:b w:val="false"/>
          <w:i w:val="false"/>
          <w:sz w:val="20"/>
        </w:rPr>
        <w:t>对话围绕医疗与消费双轮驱动的战略定位展开，重点介绍了公司在隐形眼镜等消费类产品的渠道和品牌布局，以及角膜塑形镜在近视防控领域的市场优势和未来增长预期。公司通过综合优势，包括产品多样化、市场渠道优势和技术实力，应对市场竞争，保持信心。</w:t>
      </w:r>
    </w:p>
    <w:p>
      <w:r>
        <w:rPr>
          <w:rFonts w:ascii="等线(中文正文)" w:hAnsi="等线(中文正文)" w:cs="等线(中文正文)" w:eastAsia="等线(中文正文)"/>
          <w:b w:val="false"/>
          <w:i w:val="false"/>
          <w:sz w:val="20"/>
        </w:rPr>
        <w:t/>
      </w:r>
    </w:p>
    <w:p>
      <w:pPr>
        <w:pStyle w:val="ab"/>
        <w:numPr>
          <w:numId w:val="17"/>
        </w:numPr>
      </w:pPr>
      <w:r>
        <w:t>43:44 公司一季度业务收入与海外战略规划</w:t>
      </w:r>
    </w:p>
    <w:p>
      <w:r>
        <w:rPr>
          <w:rFonts w:ascii="等线(中文正文)" w:hAnsi="等线(中文正文)" w:cs="等线(中文正文)" w:eastAsia="等线(中文正文)"/>
          <w:b w:val="false"/>
          <w:i w:val="false"/>
          <w:sz w:val="20"/>
        </w:rPr>
        <w:t>会议中，投资者询问了公司一季度各业务收入及增速情况，得到反馈称手术产品持平，近视防控产品有位数增长，隐形眼镜双位数增长。同时，关于海外战略，公司正加快各国市场准入并开发代理商合作。投资者还咨询了一道新品定价及雷尼士康无极系列竞争力，公司表示定价已定且具有竞争力，但对竞品评价未予明确。会议结束前，公司表达了对外部挑战的信心和对业务发展的承诺。</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首先代表公司对各位投资人表达了诚挚的感谢，赞赏了他们对公司长期以来的关注和支持。随后，他详细介绍了公司面临的挑战，指出由于2025年医保支付改革的实施，公司产品线的整体业务增速首次出现放缓，甚至导致净利润出现负增长。尽管面临这些不利因素，公司仍坚持技术创新为核心战略，2025年新增国内专利61项，成为国内首家获得MDRCE证书认证的生产企业，标志着公司在行业内的领先地位。同时，公司多款产品成功获得境外准入资格，有效拓展了国际市场。2026年第一季度，公司完成了对德美医疗的收购，开始利润并表，为公司进一步拓展医疗健康领域布局奠定了基础。他的发言体现了公司在逆境中的坚韧与创新精神，以及对未来发展的积极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问：2025年度公司的营业收入和净利润情况如何？</w:t>
      </w:r>
    </w:p>
    <w:p>
      <w:r>
        <w:rPr>
          <w:rFonts w:ascii="等线(中文正文)" w:hAnsi="等线(中文正文)" w:cs="等线(中文正文)" w:eastAsia="等线(中文正文)"/>
          <w:b w:val="false"/>
          <w:i w:val="false"/>
          <w:sz w:val="20"/>
        </w:rPr>
        <w:t>发言人1 答：2025年度，公司实现营业收入14.83亿元，同比增长5.15%；但净利润为12.68亿元，同比减少30.96%，扣非净利润为2.55亿元，同比减少34.57%。</w:t>
      </w:r>
    </w:p>
    <w:p>
      <w:r>
        <w:rPr>
          <w:rFonts w:ascii="等线(中文正文)" w:hAnsi="等线(中文正文)" w:cs="等线(中文正文)" w:eastAsia="等线(中文正文)"/>
          <w:b w:val="false"/>
          <w:i w:val="false"/>
          <w:sz w:val="20"/>
        </w:rPr>
        <w:t/>
      </w:r>
    </w:p>
    <w:p>
      <w:pPr>
        <w:pStyle w:val="ab"/>
      </w:pPr>
      <w:r>
        <w:t>发言人1 问：净利润下降的主要原因是什么？</w:t>
      </w:r>
    </w:p>
    <w:p>
      <w:r>
        <w:rPr>
          <w:rFonts w:ascii="等线(中文正文)" w:hAnsi="等线(中文正文)" w:cs="等线(中文正文)" w:eastAsia="等线(中文正文)"/>
          <w:b w:val="false"/>
          <w:i w:val="false"/>
          <w:sz w:val="20"/>
        </w:rPr>
        <w:t>发言人1 答：净利润下降的主要原因包括市场价格下降导致的营业眼镜业务资产减值准备增加，以及加大了品牌建设和渠道投入，使得销售费用增多，这些因素共同作用造成了净利润较大幅度的下降。</w:t>
      </w:r>
    </w:p>
    <w:p>
      <w:r>
        <w:rPr>
          <w:rFonts w:ascii="等线(中文正文)" w:hAnsi="等线(中文正文)" w:cs="等线(中文正文)" w:eastAsia="等线(中文正文)"/>
          <w:b w:val="false"/>
          <w:i w:val="false"/>
          <w:sz w:val="20"/>
        </w:rPr>
        <w:t/>
      </w:r>
    </w:p>
    <w:p>
      <w:pPr>
        <w:pStyle w:val="ab"/>
      </w:pPr>
      <w:r>
        <w:t>发言人1 问：如果剔除减值准备，公司实际的净利润同比增长情况如何？</w:t>
      </w:r>
    </w:p>
    <w:p>
      <w:r>
        <w:rPr>
          <w:rFonts w:ascii="等线(中文正文)" w:hAnsi="等线(中文正文)" w:cs="等线(中文正文)" w:eastAsia="等线(中文正文)"/>
          <w:b w:val="false"/>
          <w:i w:val="false"/>
          <w:sz w:val="20"/>
        </w:rPr>
        <w:t>发言人1 答：剔除减值准备后，公司2025年度的净利润同比下降大约在9.76%至10%以内。</w:t>
      </w:r>
    </w:p>
    <w:p>
      <w:r>
        <w:rPr>
          <w:rFonts w:ascii="等线(中文正文)" w:hAnsi="等线(中文正文)" w:cs="等线(中文正文)" w:eastAsia="等线(中文正文)"/>
          <w:b w:val="false"/>
          <w:i w:val="false"/>
          <w:sz w:val="20"/>
        </w:rPr>
        <w:t/>
      </w:r>
    </w:p>
    <w:p>
      <w:pPr>
        <w:pStyle w:val="ab"/>
      </w:pPr>
      <w:r>
        <w:t>发言人1 问：公司一季度的经营情况及收入增长点有哪些？</w:t>
      </w:r>
    </w:p>
    <w:p>
      <w:r>
        <w:rPr>
          <w:rFonts w:ascii="等线(中文正文)" w:hAnsi="等线(中文正文)" w:cs="等线(中文正文)" w:eastAsia="等线(中文正文)"/>
          <w:b w:val="false"/>
          <w:i w:val="false"/>
          <w:sz w:val="20"/>
        </w:rPr>
        <w:t>发言人1 答：一季度公司收入为3.98亿元，同比增长11.5%，归母净利润为8927万元，同比减少3.55%。收入增长主要来源于境外收入和营业业务的增长。其中，隐形眼镜业务虽然毛利率较低，但整体收入仍保持增长。</w:t>
      </w:r>
    </w:p>
    <w:p>
      <w:r>
        <w:rPr>
          <w:rFonts w:ascii="等线(中文正文)" w:hAnsi="等线(中文正文)" w:cs="等线(中文正文)" w:eastAsia="等线(中文正文)"/>
          <w:b w:val="false"/>
          <w:i w:val="false"/>
          <w:sz w:val="20"/>
        </w:rPr>
        <w:t/>
      </w:r>
    </w:p>
    <w:p>
      <w:pPr>
        <w:pStyle w:val="ab"/>
      </w:pPr>
      <w:r>
        <w:t>发言人1 问：公司对美瞳产品线的产能规划、新品战略以及市场观察是怎样的？</w:t>
      </w:r>
    </w:p>
    <w:p>
      <w:r>
        <w:rPr>
          <w:rFonts w:ascii="等线(中文正文)" w:hAnsi="等线(中文正文)" w:cs="等线(中文正文)" w:eastAsia="等线(中文正文)"/>
          <w:b w:val="false"/>
          <w:i w:val="false"/>
          <w:sz w:val="20"/>
        </w:rPr>
        <w:t>发言人1 答：今年一季度开始，美瞳市场表现相比去年有所回暖，但整体统计数据尚未得出明确结论。目前各厂家产能充足，市场价格竞争激烈，自去年以来持续走低。公司方面，通过工艺改进和产能爬坡，单片成本有所下降，能够在一定程度上弥补价格下降的影响。公司目前所有产能均得到充分利用，是否进一步拓展产能还需视市场情况和竞争格局而定。新品方面，公司将持续推出新产品，并发挥在技术和产品功能上的优势以增强市场竞争力。</w:t>
      </w:r>
    </w:p>
    <w:p>
      <w:r>
        <w:rPr>
          <w:rFonts w:ascii="等线(中文正文)" w:hAnsi="等线(中文正文)" w:cs="等线(中文正文)" w:eastAsia="等线(中文正文)"/>
          <w:b w:val="false"/>
          <w:i w:val="false"/>
          <w:sz w:val="20"/>
        </w:rPr>
        <w:t/>
      </w:r>
    </w:p>
    <w:p>
      <w:pPr>
        <w:pStyle w:val="ab"/>
      </w:pPr>
      <w:r>
        <w:t>发言人1 问：我们收购德美是基于什么考虑？</w:t>
      </w:r>
    </w:p>
    <w:p>
      <w:r>
        <w:rPr>
          <w:rFonts w:ascii="等线(中文正文)" w:hAnsi="等线(中文正文)" w:cs="等线(中文正文)" w:eastAsia="等线(中文正文)"/>
          <w:b w:val="false"/>
          <w:i w:val="false"/>
          <w:sz w:val="20"/>
        </w:rPr>
        <w:t>发言人1 答：我们收购德美是因为在开发医疗器械，尤其是耗材类医疗器械方面存在很大的协同性。双方都属于高值耗材的医疗器械公司，并且我们在生物材料技术上有深厚的研发投入和储备，与德美在运动医学领域的布局有交集。收购德美有助于扩大公司的整体销售规模和销售收入，同时考虑到运动医学赛道的增长较快以及德美在国产运动医学领域的头部地位和进口替代空间，我们相信通过这次收购能够抢占市场份额并增强公司在该领域的竞争力。</w:t>
      </w:r>
    </w:p>
    <w:p>
      <w:r>
        <w:rPr>
          <w:rFonts w:ascii="等线(中文正文)" w:hAnsi="等线(中文正文)" w:cs="等线(中文正文)" w:eastAsia="等线(中文正文)"/>
          <w:b w:val="false"/>
          <w:i w:val="false"/>
          <w:sz w:val="20"/>
        </w:rPr>
        <w:t/>
      </w:r>
    </w:p>
    <w:p>
      <w:pPr>
        <w:pStyle w:val="ab"/>
      </w:pPr>
      <w:r>
        <w:t>发言人1 问：P2产品在2025年及2026年Q1的收入体量如何？带散光版本的PRT进展如何，以及后续产品节奏预期是怎样的？</w:t>
      </w:r>
    </w:p>
    <w:p>
      <w:r>
        <w:rPr>
          <w:rFonts w:ascii="等线(中文正文)" w:hAnsi="等线(中文正文)" w:cs="等线(中文正文)" w:eastAsia="等线(中文正文)"/>
          <w:b w:val="false"/>
          <w:i w:val="false"/>
          <w:sz w:val="20"/>
        </w:rPr>
        <w:t>发言人1 答：由于PR产品的总体收入包含在晶体手术产品中未做分拆披露，但去年作为第二产品上市的第一年，总体符合预期，尤其是在产品安全性与有效性方面得到了验证。去年我们进行了市场验证，光学性能方面已充分证明优于竞品。去年我们还开展了大量医生培训和市场教育工作，为未来几年的销售打下基础。关于带散光版本的PRT，我们已完成临床入组，处于随访阶段，预期在未来两年内能获得获批。目前，无散光版本的产品推广受限，待获得散光产品注册证后，将有利于产品的更好推广。</w:t>
      </w:r>
    </w:p>
    <w:p>
      <w:r>
        <w:rPr>
          <w:rFonts w:ascii="等线(中文正文)" w:hAnsi="等线(中文正文)" w:cs="等线(中文正文)" w:eastAsia="等线(中文正文)"/>
          <w:b w:val="false"/>
          <w:i w:val="false"/>
          <w:sz w:val="20"/>
        </w:rPr>
        <w:t/>
      </w:r>
    </w:p>
    <w:p>
      <w:pPr>
        <w:pStyle w:val="ab"/>
      </w:pPr>
      <w:r>
        <w:t>发言人1 问：对于今年新一轮的晶体国产预期以及我们新产品如双胶晶体和去年1-4年级产品的销售情况如何？</w:t>
      </w:r>
    </w:p>
    <w:p>
      <w:r>
        <w:rPr>
          <w:rFonts w:ascii="等线(中文正文)" w:hAnsi="等线(中文正文)" w:cs="等线(中文正文)" w:eastAsia="等线(中文正文)"/>
          <w:b w:val="false"/>
          <w:i w:val="false"/>
          <w:sz w:val="20"/>
        </w:rPr>
        <w:t>发言人1 答：新一轮晶体国产预计在今年下半年开始，具体日期尚未确定。我们的新产品，包括已纳入上一轮集采的双胶晶体，销售状况良好，为公司带来了新的利润增长点，这主要得益于产品的高性能得到了医生的高度认可。此外，我们新取得注册证的单焦产品有望在第二轮集采中发挥重要作用，并带来新的增长点。</w:t>
      </w:r>
    </w:p>
    <w:p>
      <w:r>
        <w:rPr>
          <w:rFonts w:ascii="等线(中文正文)" w:hAnsi="等线(中文正文)" w:cs="等线(中文正文)" w:eastAsia="等线(中文正文)"/>
          <w:b w:val="false"/>
          <w:i w:val="false"/>
          <w:sz w:val="20"/>
        </w:rPr>
        <w:t/>
      </w:r>
    </w:p>
    <w:p>
      <w:pPr>
        <w:pStyle w:val="ab"/>
      </w:pPr>
      <w:r>
        <w:t>发言人1 问：美瞳业务方面，目前两家代工厂的产能利用率和规划情况如何？</w:t>
      </w:r>
    </w:p>
    <w:p>
      <w:r>
        <w:rPr>
          <w:rFonts w:ascii="等线(中文正文)" w:hAnsi="等线(中文正文)" w:cs="等线(中文正文)" w:eastAsia="等线(中文正文)"/>
          <w:b w:val="false"/>
          <w:i w:val="false"/>
          <w:sz w:val="20"/>
        </w:rPr>
        <w:t>发言人1 答：目前两家代工厂产能利用率较高，基本达到满负荷生产，主要服务于隐形眼镜和美瞳的代工需求，会随着季节或月份有所浮动。尤其是江苏天眼工厂，在过去一年通过改进工艺和管理，良率大幅度提升至80%以上，甚至达到85%，各个车间均能维持这一水平，这不仅提高了对客户的交付能力，也提升了产量和成本控制方面的表现。</w:t>
      </w:r>
    </w:p>
    <w:p>
      <w:r>
        <w:rPr>
          <w:rFonts w:ascii="等线(中文正文)" w:hAnsi="等线(中文正文)" w:cs="等线(中文正文)" w:eastAsia="等线(中文正文)"/>
          <w:b w:val="false"/>
          <w:i w:val="false"/>
          <w:sz w:val="20"/>
        </w:rPr>
        <w:t/>
      </w:r>
    </w:p>
    <w:p>
      <w:pPr>
        <w:pStyle w:val="ab"/>
      </w:pPr>
      <w:r>
        <w:t>发言人1 问：农金方面，整体的市场需求恢复情况如何？尤其是高端产品，市场购买力的接受情况如何？</w:t>
      </w:r>
    </w:p>
    <w:p>
      <w:r>
        <w:rPr>
          <w:rFonts w:ascii="等线(中文正文)" w:hAnsi="等线(中文正文)" w:cs="等线(中文正文)" w:eastAsia="等线(中文正文)"/>
          <w:b w:val="false"/>
          <w:i w:val="false"/>
          <w:sz w:val="20"/>
        </w:rPr>
        <w:t>发言人1 答：从宏观上看，国内整体高端消费的需求在过去一两年相对疲软。由于我们公司农金产品刚上市，市场份额较小，目前处于产品推广和培训教育阶段，受消费需求影响的程度难以判断。在当前阶段，我们更侧重于产品的上市推广期，而非稳定期，所以很难直接与市场环境或竞品影响进行比较。</w:t>
      </w:r>
    </w:p>
    <w:p>
      <w:r>
        <w:rPr>
          <w:rFonts w:ascii="等线(中文正文)" w:hAnsi="等线(中文正文)" w:cs="等线(中文正文)" w:eastAsia="等线(中文正文)"/>
          <w:b w:val="false"/>
          <w:i w:val="false"/>
          <w:sz w:val="20"/>
        </w:rPr>
        <w:t/>
      </w:r>
    </w:p>
    <w:p>
      <w:pPr>
        <w:pStyle w:val="ab"/>
      </w:pPr>
      <w:r>
        <w:t>发言人1 问：对于we back这款新产品，在定价上如何考虑与国外同类产品的竞争，以及产品性能与价格的关系？</w:t>
      </w:r>
    </w:p>
    <w:p>
      <w:r>
        <w:rPr>
          <w:rFonts w:ascii="等线(中文正文)" w:hAnsi="等线(中文正文)" w:cs="等线(中文正文)" w:eastAsia="等线(中文正文)"/>
          <w:b w:val="false"/>
          <w:i w:val="false"/>
          <w:sz w:val="20"/>
        </w:rPr>
        <w:t>发言人1 答：我们会在定价上采取更具性价比的方式，比如更加affordable，以打开市场。虽然v five的价格比我们高，但我们产品的性能如果能与之相当甚至更好，且价格更低，那么销售预期可能会更好。但同时，我们也需要考虑到精品公司在国际上的垄断地位和品牌效应，新产品的市场认知需要长期培育。</w:t>
      </w:r>
    </w:p>
    <w:p>
      <w:r>
        <w:rPr>
          <w:rFonts w:ascii="等线(中文正文)" w:hAnsi="等线(中文正文)" w:cs="等线(中文正文)" w:eastAsia="等线(中文正文)"/>
          <w:b w:val="false"/>
          <w:i w:val="false"/>
          <w:sz w:val="20"/>
        </w:rPr>
        <w:t/>
      </w:r>
    </w:p>
    <w:p>
      <w:pPr>
        <w:pStyle w:val="ab"/>
      </w:pPr>
      <w:r>
        <w:t>发言人1 问：今年我们医美部分玻尿酸获批的情况以及后续的新产品布局规划？</w:t>
      </w:r>
    </w:p>
    <w:p>
      <w:r>
        <w:rPr>
          <w:rFonts w:ascii="等线(中文正文)" w:hAnsi="等线(中文正文)" w:cs="等线(中文正文)" w:eastAsia="等线(中文正文)"/>
          <w:b w:val="false"/>
          <w:i w:val="false"/>
          <w:sz w:val="20"/>
        </w:rPr>
        <w:t>发言人1 答：我们在医美领域已进行一些产品布局，包括交联和水光等不同类型的玻尿酸产品，利用自身在透明质酸钠方面的技术储备和特殊交联工艺，确保产品在安全性及支撑性能上有优势。此外，我们还有基于多细胞机制的医美注射产品在研发管线中，但获得批文并在市场销售最快可能在今年年底至明年后年。因此，整体医美销售策略将根据市场竞争格局的变化来制定。</w:t>
      </w:r>
    </w:p>
    <w:p>
      <w:r>
        <w:rPr>
          <w:rFonts w:ascii="等线(中文正文)" w:hAnsi="等线(中文正文)" w:cs="等线(中文正文)" w:eastAsia="等线(中文正文)"/>
          <w:b w:val="false"/>
          <w:i w:val="false"/>
          <w:sz w:val="20"/>
        </w:rPr>
        <w:t/>
      </w:r>
    </w:p>
    <w:p>
      <w:pPr>
        <w:pStyle w:val="ab"/>
      </w:pPr>
      <w:r>
        <w:t>发言人1 问：PR产品的定价高于V4但低于V5，在消费者选择高端近视手术时，如何通过安全性等优势说服其选择我们的产品？</w:t>
      </w:r>
    </w:p>
    <w:p>
      <w:r>
        <w:rPr>
          <w:rFonts w:ascii="等线(中文正文)" w:hAnsi="等线(中文正文)" w:cs="等线(中文正文)" w:eastAsia="等线(中文正文)"/>
          <w:b w:val="false"/>
          <w:i w:val="false"/>
          <w:sz w:val="20"/>
        </w:rPr>
        <w:t>发言人1 答：定价虽然是销售策略的重要组成部分，但并非唯一因素。产品并非完全同质化，不同的定价会带来不同的客户群体。我们的产品在性能上有优势，适合不同的客户群体，销售团队在综合考量后确定了当前定价策略。产品差异化和全面碾压竞品的优势也是吸引消费者的关键因素。</w:t>
      </w:r>
    </w:p>
    <w:p>
      <w:r>
        <w:rPr>
          <w:rFonts w:ascii="等线(中文正文)" w:hAnsi="等线(中文正文)" w:cs="等线(中文正文)" w:eastAsia="等线(中文正文)"/>
          <w:b w:val="false"/>
          <w:i w:val="false"/>
          <w:sz w:val="20"/>
        </w:rPr>
        <w:t/>
      </w:r>
    </w:p>
    <w:p>
      <w:pPr>
        <w:pStyle w:val="ab"/>
      </w:pPr>
      <w:r>
        <w:t>发言人1 问：对于白内障手术量下滑的问题，我们观察到DRG或基层筛查政策影响是否已见底？对于2026年国内白内障手术量，是否存在企稳回升的可能性？</w:t>
      </w:r>
    </w:p>
    <w:p>
      <w:r>
        <w:rPr>
          <w:rFonts w:ascii="等线(中文正文)" w:hAnsi="等线(中文正文)" w:cs="等线(中文正文)" w:eastAsia="等线(中文正文)"/>
          <w:b w:val="false"/>
          <w:i w:val="false"/>
          <w:sz w:val="20"/>
        </w:rPr>
        <w:t>发言人1 答：目前很难判断政策影响是否已见底，因为从一季度的情况来看，整体市场并未增长，基本持平。第二期控费政策并未放松，不允许筛查。去年由于政策影响，大批中小型民营医院面临经营困难甚至关闭，这一出清过程可能接近尾声，未来能继续经营的机构可能会减少，但何时市场见底尚不确定。</w:t>
      </w:r>
    </w:p>
    <w:p>
      <w:r>
        <w:rPr>
          <w:rFonts w:ascii="等线(中文正文)" w:hAnsi="等线(中文正文)" w:cs="等线(中文正文)" w:eastAsia="等线(中文正文)"/>
          <w:b w:val="false"/>
          <w:i w:val="false"/>
          <w:sz w:val="20"/>
        </w:rPr>
        <w:t/>
      </w:r>
    </w:p>
    <w:p>
      <w:pPr>
        <w:pStyle w:val="ab"/>
      </w:pPr>
      <w:r>
        <w:t>发言人1 问：从公立医院和大型民营连锁集团的手术量数据来看，当前情况如何？</w:t>
      </w:r>
    </w:p>
    <w:p>
      <w:r>
        <w:rPr>
          <w:rFonts w:ascii="等线(中文正文)" w:hAnsi="等线(中文正文)" w:cs="等线(中文正文)" w:eastAsia="等线(中文正文)"/>
          <w:b w:val="false"/>
          <w:i w:val="false"/>
          <w:sz w:val="20"/>
        </w:rPr>
        <w:t>发言人1 答：目前只能通过终端机构如公立医院和大型连锁集团的报表更清晰地了解业务状况，因为作为生产厂家，只能根据产品出货量来反映市场情况。</w:t>
      </w:r>
    </w:p>
    <w:p>
      <w:r>
        <w:rPr>
          <w:rFonts w:ascii="等线(中文正文)" w:hAnsi="等线(中文正文)" w:cs="等线(中文正文)" w:eastAsia="等线(中文正文)"/>
          <w:b w:val="false"/>
          <w:i w:val="false"/>
          <w:sz w:val="20"/>
        </w:rPr>
        <w:t/>
      </w:r>
    </w:p>
    <w:p>
      <w:pPr>
        <w:pStyle w:val="ab"/>
      </w:pPr>
      <w:r>
        <w:t>发言人1 问：关于硅水凝胶产品的销售情况和产能布局规划，以及预计何时能成为美容板块的拉动增长点？</w:t>
      </w:r>
    </w:p>
    <w:p>
      <w:r>
        <w:rPr>
          <w:rFonts w:ascii="等线(中文正文)" w:hAnsi="等线(中文正文)" w:cs="等线(中文正文)" w:eastAsia="等线(中文正文)"/>
          <w:b w:val="false"/>
          <w:i w:val="false"/>
          <w:sz w:val="20"/>
        </w:rPr>
        <w:t>发言人1 答：硅水凝胶产品去年我们主要在完善产品工艺和打磨产能，受整体消费环境偏弱影响，并未大规模推广。新一年预计加大硅水凝胶彩片的市场推广力度，利用技术优势抢占市场份额，尽管目前市场整体价格走低，但新产品的推广有望在未来带动美容板块的增长。</w:t>
      </w:r>
    </w:p>
    <w:p>
      <w:r>
        <w:rPr>
          <w:rFonts w:ascii="等线(中文正文)" w:hAnsi="等线(中文正文)" w:cs="等线(中文正文)" w:eastAsia="等线(中文正文)"/>
          <w:b w:val="false"/>
          <w:i w:val="false"/>
          <w:sz w:val="20"/>
        </w:rPr>
        <w:t/>
      </w:r>
    </w:p>
    <w:p>
      <w:pPr>
        <w:pStyle w:val="ab"/>
      </w:pPr>
      <w:r>
        <w:t>发言人1 问：我们营业厅现在自有品牌占比大概有多少，以及预计今年会提升到什么程度？</w:t>
      </w:r>
    </w:p>
    <w:p>
      <w:r>
        <w:rPr>
          <w:rFonts w:ascii="等线(中文正文)" w:hAnsi="等线(中文正文)" w:cs="等线(中文正文)" w:eastAsia="等线(中文正文)"/>
          <w:b w:val="false"/>
          <w:i w:val="false"/>
          <w:sz w:val="20"/>
        </w:rPr>
        <w:t>发言人1 答：目前我们营业厅的自有品牌占比大约是45%-50%，预计今年可能会争取超过一半，达到超过50%的自有品牌占比。</w:t>
      </w:r>
    </w:p>
    <w:p>
      <w:r>
        <w:rPr>
          <w:rFonts w:ascii="等线(中文正文)" w:hAnsi="等线(中文正文)" w:cs="等线(中文正文)" w:eastAsia="等线(中文正文)"/>
          <w:b w:val="false"/>
          <w:i w:val="false"/>
          <w:sz w:val="20"/>
        </w:rPr>
        <w:t/>
      </w:r>
    </w:p>
    <w:p>
      <w:pPr>
        <w:pStyle w:val="ab"/>
      </w:pPr>
      <w:r>
        <w:t>发言人1 问：公司的毛利率整体上是否有下降，以及具体到产品线中，人工晶体和隐形眼镜的毛利率变动情况如何？</w:t>
      </w:r>
    </w:p>
    <w:p>
      <w:r>
        <w:rPr>
          <w:rFonts w:ascii="等线(中文正文)" w:hAnsi="等线(中文正文)" w:cs="等线(中文正文)" w:eastAsia="等线(中文正文)"/>
          <w:b w:val="false"/>
          <w:i w:val="false"/>
          <w:sz w:val="20"/>
        </w:rPr>
        <w:t>发言人1 答：整体毛利率确实有所下降，主要是由于隐形眼镜占比加大。其中，人工晶体的毛利率有所下降，减少约3.006个百分点，主要受平均销售价格下降和产品结构影响；而隐形眼镜的毛利率也有所减少，尤其是角膜塑形的净毛利率减少了1.0个百分点，这可能与市场竞争导致的价格下降有关。尽管如此，人工晶体整体租赁店的毛利率仍保持在85%左右。</w:t>
      </w:r>
    </w:p>
    <w:p>
      <w:r>
        <w:rPr>
          <w:rFonts w:ascii="等线(中文正文)" w:hAnsi="等线(中文正文)" w:cs="等线(中文正文)" w:eastAsia="等线(中文正文)"/>
          <w:b w:val="false"/>
          <w:i w:val="false"/>
          <w:sz w:val="20"/>
        </w:rPr>
        <w:t/>
      </w:r>
    </w:p>
    <w:p>
      <w:pPr>
        <w:pStyle w:val="ab"/>
      </w:pPr>
      <w:r>
        <w:t>发言人1 问：隐形眼镜自有品牌的渠道比例较高，这是市场竞争因素还是自身产品定价策略导致的？</w:t>
      </w:r>
    </w:p>
    <w:p>
      <w:r>
        <w:rPr>
          <w:rFonts w:ascii="等线(中文正文)" w:hAnsi="等线(中文正文)" w:cs="等线(中文正文)" w:eastAsia="等线(中文正文)"/>
          <w:b w:val="false"/>
          <w:i w:val="false"/>
          <w:sz w:val="20"/>
        </w:rPr>
        <w:t>发言人1 答：隐形眼镜自有品牌的渠道比例较高是因为在电商平台这个主要销售战场，门槛相对较低，且市场竞争激烈。即使作为自有品牌，初期可能需要通过价格优势来提升销量，因此产品单价看似会下降，这并非意味着自有品牌就能维持高价格与高销量并存，而是不同品牌策略的结果。</w:t>
      </w:r>
    </w:p>
    <w:p>
      <w:r>
        <w:rPr>
          <w:rFonts w:ascii="等线(中文正文)" w:hAnsi="等线(中文正文)" w:cs="等线(中文正文)" w:eastAsia="等线(中文正文)"/>
          <w:b w:val="false"/>
          <w:i w:val="false"/>
          <w:sz w:val="20"/>
        </w:rPr>
        <w:t/>
      </w:r>
    </w:p>
    <w:p>
      <w:pPr>
        <w:pStyle w:val="ab"/>
      </w:pPr>
      <w:r>
        <w:t>发言人1 问：关于应收账款大幅增长的原因，是否为了推货而放宽信用政策？另外，关于2023年财务费用和资产负债率的展望是什么？</w:t>
      </w:r>
    </w:p>
    <w:p>
      <w:r>
        <w:rPr>
          <w:rFonts w:ascii="等线(中文正文)" w:hAnsi="等线(中文正文)" w:cs="等线(中文正文)" w:eastAsia="等线(中文正文)"/>
          <w:b w:val="false"/>
          <w:i w:val="false"/>
          <w:sz w:val="20"/>
        </w:rPr>
        <w:t>发言人1 答：应收账款增长的主要原因是德美的并购，其中超过一半来自其并购部分，加上一季度回款通常较差，所以应收账款有所上升。但公司已采取措施加强回款管理，总体财务费用和资产负债率仍在可控范围内。</w:t>
      </w:r>
    </w:p>
    <w:p>
      <w:r>
        <w:rPr>
          <w:rFonts w:ascii="等线(中文正文)" w:hAnsi="等线(中文正文)" w:cs="等线(中文正文)" w:eastAsia="等线(中文正文)"/>
          <w:b w:val="false"/>
          <w:i w:val="false"/>
          <w:sz w:val="20"/>
        </w:rPr>
        <w:t/>
      </w:r>
    </w:p>
    <w:p>
      <w:pPr>
        <w:pStyle w:val="ab"/>
      </w:pPr>
      <w:r>
        <w:t>发言人1 问：在医保支付改革背景下，公司打造的top隐形眼镜即时零售品牌及其24小时智慧无人门店的营收战略定位和规划是什么？</w:t>
      </w:r>
    </w:p>
    <w:p>
      <w:r>
        <w:rPr>
          <w:rFonts w:ascii="等线(中文正文)" w:hAnsi="等线(中文正文)" w:cs="等线(中文正文)" w:eastAsia="等线(中文正文)"/>
          <w:b w:val="false"/>
          <w:i w:val="false"/>
          <w:sz w:val="20"/>
        </w:rPr>
        <w:t>发言人1 答：公司充分利用眼科领域的优势，特别是隐形眼镜具有消费属性的特点，采取医疗端与消费端双轮驱动的战略。隐形眼镜销售模式从眼镜店转向线上电商平台，再到新兴电商如抖音和O2O平台。公司投资泡泡并在O2O领域取得领先，同时注重品牌和渠道建设，希望通过综合优势推动消费类产品的发展。</w:t>
      </w:r>
    </w:p>
    <w:p>
      <w:r>
        <w:rPr>
          <w:rFonts w:ascii="等线(中文正文)" w:hAnsi="等线(中文正文)" w:cs="等线(中文正文)" w:eastAsia="等线(中文正文)"/>
          <w:b w:val="false"/>
          <w:i w:val="false"/>
          <w:sz w:val="20"/>
        </w:rPr>
        <w:t/>
      </w:r>
    </w:p>
    <w:p>
      <w:pPr>
        <w:pStyle w:val="ab"/>
      </w:pPr>
      <w:r>
        <w:t>发言人1 问：近视防控方面，公司的角膜塑形镜增长情况如何？</w:t>
      </w:r>
    </w:p>
    <w:p>
      <w:r>
        <w:rPr>
          <w:rFonts w:ascii="等线(中文正文)" w:hAnsi="等线(中文正文)" w:cs="等线(中文正文)" w:eastAsia="等线(中文正文)"/>
          <w:b w:val="false"/>
          <w:i w:val="false"/>
          <w:sz w:val="20"/>
        </w:rPr>
        <w:t>发言人1 答：尽管整个行业增长放缓，但我们的角膜塑形镜仍保持了个位数的增长，这在众多品牌中并不多见。我们的优势在于拥有综合优势，包括丰富的眼科产品线、服务以及学术影响力。</w:t>
      </w:r>
    </w:p>
    <w:p>
      <w:r>
        <w:rPr>
          <w:rFonts w:ascii="等线(中文正文)" w:hAnsi="等线(中文正文)" w:cs="等线(中文正文)" w:eastAsia="等线(中文正文)"/>
          <w:b w:val="false"/>
          <w:i w:val="false"/>
          <w:sz w:val="20"/>
        </w:rPr>
        <w:t/>
      </w:r>
    </w:p>
    <w:p>
      <w:pPr>
        <w:pStyle w:val="ab"/>
      </w:pPr>
      <w:r>
        <w:t>发言人1 问：面对市场竞争，尤其是其他近视防控产品的挑战，公司如何应对？</w:t>
      </w:r>
    </w:p>
    <w:p>
      <w:r>
        <w:rPr>
          <w:rFonts w:ascii="等线(中文正文)" w:hAnsi="等线(中文正文)" w:cs="等线(中文正文)" w:eastAsia="等线(中文正文)"/>
          <w:b w:val="false"/>
          <w:i w:val="false"/>
          <w:sz w:val="20"/>
        </w:rPr>
        <w:t>发言人1 答：我们依靠产品多样化和对近视防控、眼科领域深入的理解，研发出最有效的产品，并通过严格的出厂检验确保产品质量。同时，利用综合市场渠道优势，在竞争中取得进展。</w:t>
      </w:r>
    </w:p>
    <w:p>
      <w:r>
        <w:rPr>
          <w:rFonts w:ascii="等线(中文正文)" w:hAnsi="等线(中文正文)" w:cs="等线(中文正文)" w:eastAsia="等线(中文正文)"/>
          <w:b w:val="false"/>
          <w:i w:val="false"/>
          <w:sz w:val="20"/>
        </w:rPr>
        <w:t/>
      </w:r>
    </w:p>
    <w:p>
      <w:pPr>
        <w:pStyle w:val="ab"/>
      </w:pPr>
      <w:r>
        <w:t>发言人1 问：一季度各个业务板块的收入增速如何？</w:t>
      </w:r>
    </w:p>
    <w:p>
      <w:r>
        <w:rPr>
          <w:rFonts w:ascii="等线(中文正文)" w:hAnsi="等线(中文正文)" w:cs="等线(中文正文)" w:eastAsia="等线(中文正文)"/>
          <w:b w:val="false"/>
          <w:i w:val="false"/>
          <w:sz w:val="20"/>
        </w:rPr>
        <w:t>发言人1 答：一季度，手术产品国内外收入基本持平，角膜塑形镜（近视防控产品）有位数增长，隐形眼镜则实现了双位数增长，整体趋势与去年全年相似。</w:t>
      </w:r>
    </w:p>
    <w:p>
      <w:r>
        <w:rPr>
          <w:rFonts w:ascii="等线(中文正文)" w:hAnsi="等线(中文正文)" w:cs="等线(中文正文)" w:eastAsia="等线(中文正文)"/>
          <w:b w:val="false"/>
          <w:i w:val="false"/>
          <w:sz w:val="20"/>
        </w:rPr>
        <w:t/>
      </w:r>
    </w:p>
    <w:p>
      <w:pPr>
        <w:pStyle w:val="ab"/>
      </w:pPr>
      <w:r>
        <w:t>发言人1 问：海外市场的战略规划是什么？</w:t>
      </w:r>
    </w:p>
    <w:p>
      <w:r>
        <w:rPr>
          <w:rFonts w:ascii="等线(中文正文)" w:hAnsi="等线(中文正文)" w:cs="等线(中文正文)" w:eastAsia="等线(中文正文)"/>
          <w:b w:val="false"/>
          <w:i w:val="false"/>
          <w:sz w:val="20"/>
        </w:rPr>
        <w:t>发言人1 答：现阶段海外战略主要是加快在各个国家市场的准入进程，即获取注册证，并积极开发当地代理商，与当地合作伙伴进行合作。</w:t>
      </w:r>
    </w:p>
    <w:p>
      <w:r>
        <w:rPr>
          <w:rFonts w:ascii="等线(中文正文)" w:hAnsi="等线(中文正文)" w:cs="等线(中文正文)" w:eastAsia="等线(中文正文)"/>
          <w:b w:val="false"/>
          <w:i w:val="false"/>
          <w:sz w:val="20"/>
        </w:rPr>
        <w:t/>
      </w:r>
    </w:p>
    <w:p>
      <w:pPr>
        <w:pStyle w:val="ab"/>
      </w:pPr>
      <w:r>
        <w:t>发言人1 问：关于公司的新产品定价及其市场竞争力如何判断？</w:t>
      </w:r>
    </w:p>
    <w:p>
      <w:r>
        <w:rPr>
          <w:rFonts w:ascii="等线(中文正文)" w:hAnsi="等线(中文正文)" w:cs="等线(中文正文)" w:eastAsia="等线(中文正文)"/>
          <w:b w:val="false"/>
          <w:i w:val="false"/>
          <w:sz w:val="20"/>
        </w:rPr>
        <w:t>发言人1 答：E道夫产品已获得医保定价认可，具体价格不便透露，但定价已定且表现不错。对于雷尼士康无极系列产品的竞争力，由于行业内情况复杂，不便对其做出评价。</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