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国光股份 260420_导读</w:t>
      </w:r>
    </w:p>
    <w:p>
      <w:pPr>
        <w:pStyle w:val="a0"/>
        <w:jc w:val="center"/>
      </w:pPr>
      <w:r>
        <w:t>2026年04月27日 07:46</w:t>
      </w:r>
    </w:p>
    <w:p>
      <w:pPr>
        <w:pStyle w:val="a7"/>
      </w:pPr>
      <w:r>
        <w:t>关键词</w:t>
      </w:r>
    </w:p>
    <w:p>
      <w:r>
        <w:rPr>
          <w:rFonts w:ascii="等线(中文正文)" w:hAnsi="等线(中文正文)" w:cs="等线(中文正文)" w:eastAsia="等线(中文正文)"/>
          <w:b w:val="false"/>
          <w:i w:val="false"/>
          <w:sz w:val="20"/>
        </w:rPr>
        <w:t xml:space="preserve">农药 肥料 营业收入 毛利率 净利润 调节剂 补税 研发费用 客户集中度 分红 销售费用 核心产品 市场拓展 技术服务 产能 价格变动 需求 方案营销 经营亮点 风控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近期举行的光股份董事会秘书主持的联保及一季报业绩交流会上，公司高层包括财务总监及证券事务代表等共同汇报了2025年年报及2026年一季报的财务表现与经营状况。会议内容覆盖了营业收入、毛利率、利润变动、核心产品销售、成本费用控制、分红策略、研发投入及市场拓展等多个方面。面对投资者的提问，管理层详细解答了关于税收调整、产品价格走势、分红计划、加大研发投资及市场布局等热点问题。公司表达了对未来发展持有坚定信心，并对投资者的积极参与与支持表示诚挚感谢，彰显了公司与投资者间积极健康的合作关系。</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和光股份2025年报及一季报业绩交流会</w:t>
      </w:r>
    </w:p>
    <w:p>
      <w:r>
        <w:rPr>
          <w:rFonts w:ascii="等线(中文正文)" w:hAnsi="等线(中文正文)" w:cs="等线(中文正文)" w:eastAsia="等线(中文正文)"/>
          <w:b w:val="false"/>
          <w:i w:val="false"/>
          <w:sz w:val="20"/>
        </w:rPr>
        <w:t>会议中，公司管理层就2025年年报及2026年一季报进行了汇报。2025年，公司营收为20.7亿元，同比增长3.57%，其中农药业务收入14.12亿元，占比68.6%，肥料业务收入5.57亿元，占比27.09%。农药毛利率为49.87%，同比提升0.68个百分点，肥料毛利率34.74%，同比下降1.57个百分点。净利润3.12亿元，同比下降14.94%，主要受补税及研发费用增加影响。整体来看，公司在需求疲软的环境下保持了稳健增长。</w:t>
      </w:r>
    </w:p>
    <w:p>
      <w:r>
        <w:rPr>
          <w:rFonts w:ascii="等线(中文正文)" w:hAnsi="等线(中文正文)" w:cs="等线(中文正文)" w:eastAsia="等线(中文正文)"/>
          <w:b w:val="false"/>
          <w:i w:val="false"/>
          <w:sz w:val="20"/>
        </w:rPr>
        <w:t/>
      </w:r>
    </w:p>
    <w:p>
      <w:pPr>
        <w:pStyle w:val="ab"/>
        <w:numPr>
          <w:numId w:val="2"/>
        </w:numPr>
      </w:pPr>
      <w:r>
        <w:t>03:20 农药与肥料销售业绩及公司运营分析</w:t>
      </w:r>
    </w:p>
    <w:p>
      <w:r>
        <w:rPr>
          <w:rFonts w:ascii="等线(中文正文)" w:hAnsi="等线(中文正文)" w:cs="等线(中文正文)" w:eastAsia="等线(中文正文)"/>
          <w:b w:val="false"/>
          <w:i w:val="false"/>
          <w:sz w:val="20"/>
        </w:rPr>
        <w:t>报告详细分析了农药板块中植物生长调节剂、杀菌剂及大成出厂的销量与营收变化，以及肥料板块水溶肥和复合肥的销售情况。指出公司核心业务稳定增长，药肥一体化战略推进，成本中直接材料占比高，销售与研发费用增长，客户集中度低，供应商集中度提升，新增人员主要集中在销售与技术服务部门，强化营销与技术双轮驱动。</w:t>
      </w:r>
    </w:p>
    <w:p>
      <w:r>
        <w:rPr>
          <w:rFonts w:ascii="等线(中文正文)" w:hAnsi="等线(中文正文)" w:cs="等线(中文正文)" w:eastAsia="等线(中文正文)"/>
          <w:b w:val="false"/>
          <w:i w:val="false"/>
          <w:sz w:val="20"/>
        </w:rPr>
        <w:t/>
      </w:r>
    </w:p>
    <w:p>
      <w:pPr>
        <w:pStyle w:val="ab"/>
        <w:numPr>
          <w:numId w:val="3"/>
        </w:numPr>
      </w:pPr>
      <w:r>
        <w:t>07:32 2025年公司分红计划及历史分红回顾</w:t>
      </w:r>
    </w:p>
    <w:p>
      <w:r>
        <w:rPr>
          <w:rFonts w:ascii="等线(中文正文)" w:hAnsi="等线(中文正文)" w:cs="等线(中文正文)" w:eastAsia="等线(中文正文)"/>
          <w:b w:val="false"/>
          <w:i w:val="false"/>
          <w:sz w:val="20"/>
        </w:rPr>
        <w:t>公司计划在2025年年报中以每10股派现1元，同时以资本公积每10股转增2股的方式进行分红，总分红金额约为9327万，转增股本同样为9327万，转增后总股本达5.6亿。回顾2025年，公司已进行了三次分红，累计分红收益达4.19亿，占归属于上市公司股东净利润的134%。公司资产负债表健康，现金流充沛，持续高分红体现了管理层对股东利益的重视。</w:t>
      </w:r>
    </w:p>
    <w:p>
      <w:r>
        <w:rPr>
          <w:rFonts w:ascii="等线(中文正文)" w:hAnsi="等线(中文正文)" w:cs="等线(中文正文)" w:eastAsia="等线(中文正文)"/>
          <w:b w:val="false"/>
          <w:i w:val="false"/>
          <w:sz w:val="20"/>
        </w:rPr>
        <w:t/>
      </w:r>
    </w:p>
    <w:p>
      <w:pPr>
        <w:pStyle w:val="ab"/>
        <w:numPr>
          <w:numId w:val="4"/>
        </w:numPr>
      </w:pPr>
      <w:r>
        <w:t>08:59 2026年一季度业绩下滑分析及后续展望</w:t>
      </w:r>
    </w:p>
    <w:p>
      <w:r>
        <w:rPr>
          <w:rFonts w:ascii="等线(中文正文)" w:hAnsi="等线(中文正文)" w:cs="等线(中文正文)" w:eastAsia="等线(中文正文)"/>
          <w:b w:val="false"/>
          <w:i w:val="false"/>
          <w:sz w:val="20"/>
        </w:rPr>
        <w:t>2026年一季度，公司月收入3.8亿，同比下降11.24%，净利润0.6亿，同比下降23.5%，毛利率42.57%，同比下降3.68%。业绩下滑主要受季节性因素、短期活动及税务影响，而非需求问题。尽管一季度销售受战争影响波动，合同负债同比大增58%，预收款增加，营收端保持稳健，预计二三季度销售旺季将锁定确定性。</w:t>
      </w:r>
    </w:p>
    <w:p>
      <w:r>
        <w:rPr>
          <w:rFonts w:ascii="等线(中文正文)" w:hAnsi="等线(中文正文)" w:cs="等线(中文正文)" w:eastAsia="等线(中文正文)"/>
          <w:b w:val="false"/>
          <w:i w:val="false"/>
          <w:sz w:val="20"/>
        </w:rPr>
        <w:t/>
      </w:r>
    </w:p>
    <w:p>
      <w:pPr>
        <w:pStyle w:val="ab"/>
        <w:numPr>
          <w:numId w:val="5"/>
        </w:numPr>
      </w:pPr>
      <w:r>
        <w:t>10:55 2025年公司经营亮点与未来展望</w:t>
      </w:r>
    </w:p>
    <w:p>
      <w:r>
        <w:rPr>
          <w:rFonts w:ascii="等线(中文正文)" w:hAnsi="等线(中文正文)" w:cs="等线(中文正文)" w:eastAsia="等线(中文正文)"/>
          <w:b w:val="false"/>
          <w:i w:val="false"/>
          <w:sz w:val="20"/>
        </w:rPr>
        <w:t>2025年公司研发投入加大，新增农药和肥料登记证，市场拓展与技术服务团队扩大，毛利率稳定提升，核心产品销量增长，方案营销推广面积增加，持续高频分红，整体业务稳健增长，结构优化，预计2026年将继续围绕核心产品和方案推动发展。</w:t>
      </w:r>
    </w:p>
    <w:p>
      <w:r>
        <w:rPr>
          <w:rFonts w:ascii="等线(中文正文)" w:hAnsi="等线(中文正文)" w:cs="等线(中文正文)" w:eastAsia="等线(中文正文)"/>
          <w:b w:val="false"/>
          <w:i w:val="false"/>
          <w:sz w:val="20"/>
        </w:rPr>
        <w:t/>
      </w:r>
    </w:p>
    <w:p>
      <w:pPr>
        <w:pStyle w:val="ab"/>
        <w:numPr>
          <w:numId w:val="6"/>
        </w:numPr>
      </w:pPr>
      <w:r>
        <w:t>14:38 关于所得税补缴对财务影响的讨论</w:t>
      </w:r>
    </w:p>
    <w:p>
      <w:r>
        <w:rPr>
          <w:rFonts w:ascii="等线(中文正文)" w:hAnsi="等线(中文正文)" w:cs="等线(中文正文)" w:eastAsia="等线(中文正文)"/>
          <w:b w:val="false"/>
          <w:i w:val="false"/>
          <w:sz w:val="20"/>
        </w:rPr>
        <w:t>对话围绕所得税补缴情况及其长期影响展开，解释了国光旗下两家销售公司因西部大开发优惠政策被取消而需补缴税款，影响了去年四季度及一季度的财务数据，预估2024年补税金额约为三千多万，长期实际税率可能维持在20%左右。</w:t>
      </w:r>
    </w:p>
    <w:p>
      <w:r>
        <w:rPr>
          <w:rFonts w:ascii="等线(中文正文)" w:hAnsi="等线(中文正文)" w:cs="等线(中文正文)" w:eastAsia="等线(中文正文)"/>
          <w:b w:val="false"/>
          <w:i w:val="false"/>
          <w:sz w:val="20"/>
        </w:rPr>
        <w:t/>
      </w:r>
    </w:p>
    <w:p>
      <w:pPr>
        <w:pStyle w:val="ab"/>
        <w:numPr>
          <w:numId w:val="7"/>
        </w:numPr>
      </w:pPr>
      <w:r>
        <w:t>16:30 农药价格变动与公司产品策略分析</w:t>
      </w:r>
    </w:p>
    <w:p>
      <w:r>
        <w:rPr>
          <w:rFonts w:ascii="等线(中文正文)" w:hAnsi="等线(中文正文)" w:cs="等线(中文正文)" w:eastAsia="等线(中文正文)"/>
          <w:b w:val="false"/>
          <w:i w:val="false"/>
          <w:sz w:val="20"/>
        </w:rPr>
        <w:t>讨论了去年因产品结构调整导致的价格下滑，以及一季度农药价格上涨对报表的影响。分析指出，尽管肥料价格前期上涨较快，但正逐步传导至终端市场，高端产品维持高毛利预期。公司通过提升自由产能和产业链延伸，增强了调节剂的抗风险能力，确保核心业务稳定。对于非核心领域，若出现价格大幅波动，可能带来影响。</w:t>
      </w:r>
    </w:p>
    <w:p>
      <w:r>
        <w:rPr>
          <w:rFonts w:ascii="等线(中文正文)" w:hAnsi="等线(中文正文)" w:cs="等线(中文正文)" w:eastAsia="等线(中文正文)"/>
          <w:b w:val="false"/>
          <w:i w:val="false"/>
          <w:sz w:val="20"/>
        </w:rPr>
        <w:t/>
      </w:r>
    </w:p>
    <w:p>
      <w:pPr>
        <w:pStyle w:val="ab"/>
        <w:numPr>
          <w:numId w:val="8"/>
        </w:numPr>
      </w:pPr>
      <w:r>
        <w:t>18:29 公司分红情况与未来预期探讨</w:t>
      </w:r>
    </w:p>
    <w:p>
      <w:r>
        <w:rPr>
          <w:rFonts w:ascii="等线(中文正文)" w:hAnsi="等线(中文正文)" w:cs="等线(中文正文)" w:eastAsia="等线(中文正文)"/>
          <w:b w:val="false"/>
          <w:i w:val="false"/>
          <w:sz w:val="20"/>
        </w:rPr>
        <w:t>对话围绕公司分红情况展开，指出2023年分红超百分之百，基于11年平均分红占利润70%的强劲表现，公司计划今年实施不低于两次的中性分红。考虑到新产能引入及行业高增长预期，管理层对今年风控策略调整持开放态度，目标是维持收入与利润的持续增长态势。</w:t>
      </w:r>
    </w:p>
    <w:p>
      <w:r>
        <w:rPr>
          <w:rFonts w:ascii="等线(中文正文)" w:hAnsi="等线(中文正文)" w:cs="等线(中文正文)" w:eastAsia="等线(中文正文)"/>
          <w:b w:val="false"/>
          <w:i w:val="false"/>
          <w:sz w:val="20"/>
        </w:rPr>
        <w:t/>
      </w:r>
    </w:p>
    <w:p>
      <w:pPr>
        <w:pStyle w:val="ab"/>
        <w:numPr>
          <w:numId w:val="9"/>
        </w:numPr>
      </w:pPr>
      <w:r>
        <w:t>19:54 探讨目标经营完成率与产品售价波动原因</w:t>
      </w:r>
    </w:p>
    <w:p>
      <w:r>
        <w:rPr>
          <w:rFonts w:ascii="等线(中文正文)" w:hAnsi="等线(中文正文)" w:cs="等线(中文正文)" w:eastAsia="等线(中文正文)"/>
          <w:b w:val="false"/>
          <w:i w:val="false"/>
          <w:sz w:val="20"/>
        </w:rPr>
        <w:t>对话围绕目标经营完成率的计算方式及产品售价下降的原因展开。首先讨论了目标经营完成率的计算方法，涉及产值、营业收入及利润增长目标的加权计算。随后，深入分析了产品售价同比下降的原因，指出销售结构变化及核心产品调节剂和水溶肥的销售情况对整体售价的影响，同时强调了毛利水平的稳定性。</w:t>
      </w:r>
    </w:p>
    <w:p>
      <w:r>
        <w:rPr>
          <w:rFonts w:ascii="等线(中文正文)" w:hAnsi="等线(中文正文)" w:cs="等线(中文正文)" w:eastAsia="等线(中文正文)"/>
          <w:b w:val="false"/>
          <w:i w:val="false"/>
          <w:sz w:val="20"/>
        </w:rPr>
        <w:t/>
      </w:r>
    </w:p>
    <w:p>
      <w:pPr>
        <w:pStyle w:val="ab"/>
        <w:numPr>
          <w:numId w:val="10"/>
        </w:numPr>
      </w:pPr>
      <w:r>
        <w:t>23:29 大田推广解决方案的销售与营销目标分析</w:t>
      </w:r>
    </w:p>
    <w:p>
      <w:r>
        <w:rPr>
          <w:rFonts w:ascii="等线(中文正文)" w:hAnsi="等线(中文正文)" w:cs="等线(中文正文)" w:eastAsia="等线(中文正文)"/>
          <w:b w:val="false"/>
          <w:i w:val="false"/>
          <w:sz w:val="20"/>
        </w:rPr>
        <w:t>对话讨论了去年大田推广解决方案的销售与营销目标，指出尽管整体面积较大，但由于中原地区极端气候影响，同比增长低于预期。上半年干旱和下半年水稻受损影响了春晚收益，但经济收入在气候稳定地区仍达到目标。今年的目标虽未明确提及，但去年的业绩为制定新目标提供了参考。</w:t>
      </w:r>
    </w:p>
    <w:p>
      <w:r>
        <w:rPr>
          <w:rFonts w:ascii="等线(中文正文)" w:hAnsi="等线(中文正文)" w:cs="等线(中文正文)" w:eastAsia="等线(中文正文)"/>
          <w:b w:val="false"/>
          <w:i w:val="false"/>
          <w:sz w:val="20"/>
        </w:rPr>
        <w:t/>
      </w:r>
    </w:p>
    <w:p>
      <w:pPr>
        <w:pStyle w:val="ab"/>
        <w:numPr>
          <w:numId w:val="11"/>
        </w:numPr>
      </w:pPr>
      <w:r>
        <w:t>24:29 农业市场动态与政策影响分析</w:t>
      </w:r>
    </w:p>
    <w:p>
      <w:r>
        <w:rPr>
          <w:rFonts w:ascii="等线(中文正文)" w:hAnsi="等线(中文正文)" w:cs="等线(中文正文)" w:eastAsia="等线(中文正文)"/>
          <w:b w:val="false"/>
          <w:i w:val="false"/>
          <w:sz w:val="20"/>
        </w:rPr>
        <w:t>对话围绕农业市场动态展开，讨论了经济作物需求稳定、粮食价格波动及政策影响。指出玉米肥料关注提前，受粮价上涨影响，种植户提前进货。同时，标签管理条例更新导致出货速度减慢，预计通胀预期产品需待消化后市场状况才会明朗，拐点可能在下半年或明年出现。</w:t>
      </w:r>
    </w:p>
    <w:p>
      <w:r>
        <w:rPr>
          <w:rFonts w:ascii="等线(中文正文)" w:hAnsi="等线(中文正文)" w:cs="等线(中文正文)" w:eastAsia="等线(中文正文)"/>
          <w:b w:val="false"/>
          <w:i w:val="false"/>
          <w:sz w:val="20"/>
        </w:rPr>
        <w:t/>
      </w:r>
    </w:p>
    <w:p>
      <w:pPr>
        <w:pStyle w:val="ab"/>
        <w:numPr>
          <w:numId w:val="12"/>
        </w:numPr>
      </w:pPr>
      <w:r>
        <w:t>27:19 税率调整与政策落实探讨</w:t>
      </w:r>
    </w:p>
    <w:p>
      <w:r>
        <w:rPr>
          <w:rFonts w:ascii="等线(中文正文)" w:hAnsi="等线(中文正文)" w:cs="等线(中文正文)" w:eastAsia="等线(中文正文)"/>
          <w:b w:val="false"/>
          <w:i w:val="false"/>
          <w:sz w:val="20"/>
        </w:rPr>
        <w:t>讨论了一品政策的落实方式，指出需通过地方农业综合执法大队等机构来杜绝违规生产行为。提及销售总公司在税率调整下的应对策略，如转移至母公司等，但指出因经营模式和整体营业模式的限制，改变有限。强调生产端税率较低，销售端受商贸企业分类影响，税率调整对销售模式影响较大，需在合规范围内小范围尝试调整。</w:t>
      </w:r>
    </w:p>
    <w:p>
      <w:r>
        <w:rPr>
          <w:rFonts w:ascii="等线(中文正文)" w:hAnsi="等线(中文正文)" w:cs="等线(中文正文)" w:eastAsia="等线(中文正文)"/>
          <w:b w:val="false"/>
          <w:i w:val="false"/>
          <w:sz w:val="20"/>
        </w:rPr>
        <w:t/>
      </w:r>
    </w:p>
    <w:p>
      <w:pPr>
        <w:pStyle w:val="ab"/>
        <w:numPr>
          <w:numId w:val="13"/>
        </w:numPr>
      </w:pPr>
      <w:r>
        <w:t>30:07 2026年销售与研发目标及经销商增长策略</w:t>
      </w:r>
    </w:p>
    <w:p>
      <w:r>
        <w:rPr>
          <w:rFonts w:ascii="等线(中文正文)" w:hAnsi="等线(中文正文)" w:cs="等线(中文正文)" w:eastAsia="等线(中文正文)"/>
          <w:b w:val="false"/>
          <w:i w:val="false"/>
          <w:sz w:val="20"/>
        </w:rPr>
        <w:t>对话讨论了2026年销售与研发目标，包括技术营销人员和畜牧技术部研发团队的培养，以及人员净增加约150人的计划。同时，强调了经销商增长工作的重要性，特别是渠道拓新，计划将更多资源投入，目标是全国50%以上区域的经销商覆盖。20年初，山东、河南等区域渠道创新工作进展良好，增长显著。</w:t>
      </w:r>
    </w:p>
    <w:p>
      <w:r>
        <w:rPr>
          <w:rFonts w:ascii="等线(中文正文)" w:hAnsi="等线(中文正文)" w:cs="等线(中文正文)" w:eastAsia="等线(中文正文)"/>
          <w:b w:val="false"/>
          <w:i w:val="false"/>
          <w:sz w:val="20"/>
        </w:rPr>
        <w:t/>
      </w:r>
    </w:p>
    <w:p>
      <w:pPr>
        <w:pStyle w:val="ab"/>
        <w:numPr>
          <w:numId w:val="14"/>
        </w:numPr>
      </w:pPr>
      <w:r>
        <w:t>32:26 经销商与直销客户策略调整</w:t>
      </w:r>
    </w:p>
    <w:p>
      <w:r>
        <w:rPr>
          <w:rFonts w:ascii="等线(中文正文)" w:hAnsi="等线(中文正文)" w:cs="等线(中文正文)" w:eastAsia="等线(中文正文)"/>
          <w:b w:val="false"/>
          <w:i w:val="false"/>
          <w:sz w:val="20"/>
        </w:rPr>
        <w:t>对话围绕经销商与直销客户的规划展开，提到因经济和房地产影响，经销商渠道正进行优化，减少不活跃或投入意愿低的经销商。同时，直销客户群体虽增量有限，但正通过筛选优质客户进行开发与维护，尤其关注政府类客户。</w:t>
      </w:r>
    </w:p>
    <w:p>
      <w:r>
        <w:rPr>
          <w:rFonts w:ascii="等线(中文正文)" w:hAnsi="等线(中文正文)" w:cs="等线(中文正文)" w:eastAsia="等线(中文正文)"/>
          <w:b w:val="false"/>
          <w:i w:val="false"/>
          <w:sz w:val="20"/>
        </w:rPr>
        <w:t/>
      </w:r>
    </w:p>
    <w:p>
      <w:pPr>
        <w:pStyle w:val="ab"/>
        <w:numPr>
          <w:numId w:val="15"/>
        </w:numPr>
      </w:pPr>
      <w:r>
        <w:t>33:29 研发费用持续增长原因及未来趋势</w:t>
      </w:r>
    </w:p>
    <w:p>
      <w:r>
        <w:rPr>
          <w:rFonts w:ascii="等线(中文正文)" w:hAnsi="等线(中文正文)" w:cs="等线(中文正文)" w:eastAsia="等线(中文正文)"/>
          <w:b w:val="false"/>
          <w:i w:val="false"/>
          <w:sz w:val="20"/>
        </w:rPr>
        <w:t>讨论了研发费用接近9000万并计划持续高投入的原因，指出证件研发周期长需分年度支付费用，以及智能证件全程方案的推进需求。未来两三年研发投入将保持稳定，以支持证件研发和市场推广。</w:t>
      </w:r>
    </w:p>
    <w:p>
      <w:r>
        <w:rPr>
          <w:rFonts w:ascii="等线(中文正文)" w:hAnsi="等线(中文正文)" w:cs="等线(中文正文)" w:eastAsia="等线(中文正文)"/>
          <w:b w:val="false"/>
          <w:i w:val="false"/>
          <w:sz w:val="20"/>
        </w:rPr>
        <w:t/>
      </w:r>
    </w:p>
    <w:p>
      <w:pPr>
        <w:pStyle w:val="ab"/>
        <w:numPr>
          <w:numId w:val="16"/>
        </w:numPr>
      </w:pPr>
      <w:r>
        <w:t>34:34 全程方案价格调整与市场策略讨论</w:t>
      </w:r>
    </w:p>
    <w:p>
      <w:r>
        <w:rPr>
          <w:rFonts w:ascii="等线(中文正文)" w:hAnsi="等线(中文正文)" w:cs="等线(中文正文)" w:eastAsia="等线(中文正文)"/>
          <w:b w:val="false"/>
          <w:i w:val="false"/>
          <w:sz w:val="20"/>
        </w:rPr>
        <w:t>讨论了全程方案在原油价格上涨背景下的价格调整机制，包括预付款客户的协商处理及未来成本上涨对盈利能力的影响。同时，分析了渠道方案中大田与经济作物市场的占比及收入差异，强调了应对市场不确定性，需平衡关注大田与经济作物的发展策略。</w:t>
      </w:r>
    </w:p>
    <w:p>
      <w:r>
        <w:rPr>
          <w:rFonts w:ascii="等线(中文正文)" w:hAnsi="等线(中文正文)" w:cs="等线(中文正文)" w:eastAsia="等线(中文正文)"/>
          <w:b w:val="false"/>
          <w:i w:val="false"/>
          <w:sz w:val="20"/>
        </w:rPr>
        <w:t/>
      </w:r>
    </w:p>
    <w:p>
      <w:pPr>
        <w:pStyle w:val="ab"/>
        <w:numPr>
          <w:numId w:val="17"/>
        </w:numPr>
      </w:pPr>
      <w:r>
        <w:t>38:33 行业竞争难度与海外拓展计划</w:t>
      </w:r>
    </w:p>
    <w:p>
      <w:r>
        <w:rPr>
          <w:rFonts w:ascii="等线(中文正文)" w:hAnsi="等线(中文正文)" w:cs="等线(中文正文)" w:eastAsia="等线(中文正文)"/>
          <w:b w:val="false"/>
          <w:i w:val="false"/>
          <w:sz w:val="20"/>
        </w:rPr>
        <w:t>对话围绕行业竞争难度展开，讨论了登记证获取的复杂性，包括需要原有证据来源证明、长时间等待及高昂费用等挑战。此外，提及了海外拓展布局，包括原料登记和制剂端出口计划，预计未来3到5年将成为重要增长点。</w:t>
      </w:r>
    </w:p>
    <w:p>
      <w:r>
        <w:rPr>
          <w:rFonts w:ascii="等线(中文正文)" w:hAnsi="等线(中文正文)" w:cs="等线(中文正文)" w:eastAsia="等线(中文正文)"/>
          <w:b w:val="false"/>
          <w:i w:val="false"/>
          <w:sz w:val="20"/>
        </w:rPr>
        <w:t/>
      </w:r>
    </w:p>
    <w:p>
      <w:pPr>
        <w:pStyle w:val="ab"/>
        <w:numPr>
          <w:numId w:val="18"/>
        </w:numPr>
      </w:pPr>
      <w:r>
        <w:t>43:13 全程方案营销模式的验证与增长来源探讨</w:t>
      </w:r>
    </w:p>
    <w:p>
      <w:r>
        <w:rPr>
          <w:rFonts w:ascii="等线(中文正文)" w:hAnsi="等线(中文正文)" w:cs="等线(中文正文)" w:eastAsia="等线(中文正文)"/>
          <w:b w:val="false"/>
          <w:i w:val="false"/>
          <w:sz w:val="20"/>
        </w:rPr>
        <w:t>对话讨论了全程方案营销模式的有效性，从种植户端价值实现、经销商与零售商的收益增长以及服务面积的稳步扩张三个维度进行验证。种植户端的高粘性复购、极端天气下仍保持盈利，以及经销商和零售商因全程方案看到的增长价值，均证明了模式的成功。尽管25年的增长速度较预期放缓，但整体服务面积仍在持续增长，进一步验证了模式的优势。</w:t>
      </w:r>
    </w:p>
    <w:p>
      <w:r>
        <w:rPr>
          <w:rFonts w:ascii="等线(中文正文)" w:hAnsi="等线(中文正文)" w:cs="等线(中文正文)" w:eastAsia="等线(中文正文)"/>
          <w:b w:val="false"/>
          <w:i w:val="false"/>
          <w:sz w:val="20"/>
        </w:rPr>
        <w:t/>
      </w:r>
    </w:p>
    <w:p>
      <w:pPr>
        <w:pStyle w:val="ab"/>
        <w:numPr>
          <w:numId w:val="19"/>
        </w:numPr>
      </w:pPr>
      <w:r>
        <w:t>45:48 经销商结构优化与农业技术推广挑战</w:t>
      </w:r>
    </w:p>
    <w:p>
      <w:r>
        <w:rPr>
          <w:rFonts w:ascii="等线(中文正文)" w:hAnsi="等线(中文正文)" w:cs="等线(中文正文)" w:eastAsia="等线(中文正文)"/>
          <w:b w:val="false"/>
          <w:i w:val="false"/>
          <w:sz w:val="20"/>
        </w:rPr>
        <w:t>讨论了面向方案营销的经销商结构提升进展，包括从最初的不足到如今需筛选报名经销商的变化。同时，分析了国家农业技术中心推广的‘一分多促’政策背景下，250公司在大屏增速受粮价、售后及天气因素影响的原因，特别是极端气候对中原核心区域粮食增速的负面影响，导致全面方案推广周期变慢，农户更关注基本的浇排水操作。</w:t>
      </w:r>
    </w:p>
    <w:p>
      <w:r>
        <w:rPr>
          <w:rFonts w:ascii="等线(中文正文)" w:hAnsi="等线(中文正文)" w:cs="等线(中文正文)" w:eastAsia="等线(中文正文)"/>
          <w:b w:val="false"/>
          <w:i w:val="false"/>
          <w:sz w:val="20"/>
        </w:rPr>
        <w:t/>
      </w:r>
    </w:p>
    <w:p>
      <w:pPr>
        <w:pStyle w:val="ab"/>
        <w:numPr>
          <w:numId w:val="20"/>
        </w:numPr>
      </w:pPr>
      <w:r>
        <w:t>49:28 中原地区大田推广与净利润下降分析</w:t>
      </w:r>
    </w:p>
    <w:p>
      <w:r>
        <w:rPr>
          <w:rFonts w:ascii="等线(中文正文)" w:hAnsi="等线(中文正文)" w:cs="等线(中文正文)" w:eastAsia="等线(中文正文)"/>
          <w:b w:val="false"/>
          <w:i w:val="false"/>
          <w:sz w:val="20"/>
        </w:rPr>
        <w:t>讨论了中原地区大田方案推广受极端气候影响较小，粮价增长预期提升投资积极性。一季度净利润下降主要由销售结构变化及毛利率影响，与税率关系不大。</w:t>
      </w:r>
    </w:p>
    <w:p>
      <w:r>
        <w:rPr>
          <w:rFonts w:ascii="等线(中文正文)" w:hAnsi="等线(中文正文)" w:cs="等线(中文正文)" w:eastAsia="等线(中文正文)"/>
          <w:b w:val="false"/>
          <w:i w:val="false"/>
          <w:sz w:val="20"/>
        </w:rPr>
        <w:t/>
      </w:r>
    </w:p>
    <w:p>
      <w:pPr>
        <w:pStyle w:val="ab"/>
        <w:numPr>
          <w:numId w:val="21"/>
        </w:numPr>
      </w:pPr>
      <w:r>
        <w:t>52:03 合同负债增加与成本影响探讨</w:t>
      </w:r>
    </w:p>
    <w:p>
      <w:r>
        <w:rPr>
          <w:rFonts w:ascii="等线(中文正文)" w:hAnsi="等线(中文正文)" w:cs="等线(中文正文)" w:eastAsia="等线(中文正文)"/>
          <w:b w:val="false"/>
          <w:i w:val="false"/>
          <w:sz w:val="20"/>
        </w:rPr>
        <w:t>对话围绕合同负债增加的原因及影响展开，指出去年天气因素导致销售节奏提前，而今年涨价与国际形势变化使经销商观望，影响销售节奏。讨论了长期原料成本可能上涨，但短期内影响有限，强调稳步上涨策略。最后，表达了公司对长期增长的信心，并欢迎投资者来访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22"/>
        </w:numPr>
      </w:pPr>
      <w:r>
        <w:t>发言人1</w:t>
      </w:r>
    </w:p>
    <w:p>
      <w:r>
        <w:rPr>
          <w:rFonts w:ascii="等线(中文正文)" w:hAnsi="等线(中文正文)" w:cs="等线(中文正文)" w:eastAsia="等线(中文正文)"/>
          <w:b w:val="false"/>
          <w:i w:val="false"/>
          <w:sz w:val="20"/>
        </w:rPr>
        <w:t>主持了光股份的联保以及一季报业绩交流会，向投资者和分析师详细介绍了公司2025年年报和2026年一季报的最新数据。汇报内容广泛，包括公司营收、毛利率、利润、农药和肥料销售情况、研发费用、分红政策、成本和费用、以及客户与供应商集中度等多个方面。他特别强调，尽管面临补税影响和原材料价格波动，公司仍展现出稳健的增长态势，尤其在农药业务上的盈利能力有所提升。此外，他还提及了公司未来对研发投入、市场拓展以及国际扩张的计划。最后，他对投资者的提问进行了逐一解答，表达了公司对未来的业务发展充满信心，并期待与投资者保持持续的沟通。</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问：2025年公司的营业收入、毛利率以及利润情况如何？</w:t>
      </w:r>
    </w:p>
    <w:p>
      <w:r>
        <w:rPr>
          <w:rFonts w:ascii="等线(中文正文)" w:hAnsi="等线(中文正文)" w:cs="等线(中文正文)" w:eastAsia="等线(中文正文)"/>
          <w:b w:val="false"/>
          <w:i w:val="false"/>
          <w:sz w:val="20"/>
        </w:rPr>
        <w:t>发言人1 答：2025年公司营业收入为20.7亿元，同比增长3.57%。其中农药营业收入为14.12亿元，同比增长3.1%；肥料营业收入为5.57亿元，同比增长6.39%。公司综合毛利率为45.5%，保持稳定。农药毛利率为49.87%，同比提升0.68个百分点；肥料毛利率为34.74%，同比下降1.57个百分点。归属上市公司股东的净利润为3.12亿美元，同比下降14.94%；扣除非经常性损益的净利润为3.17亿，同比下降14.89%。利润下降主要由于25年底补税的影响及研发费用增加所致。</w:t>
      </w:r>
    </w:p>
    <w:p>
      <w:r>
        <w:rPr>
          <w:rFonts w:ascii="等线(中文正文)" w:hAnsi="等线(中文正文)" w:cs="等线(中文正文)" w:eastAsia="等线(中文正文)"/>
          <w:b w:val="false"/>
          <w:i w:val="false"/>
          <w:sz w:val="20"/>
        </w:rPr>
        <w:t/>
      </w:r>
    </w:p>
    <w:p>
      <w:pPr>
        <w:pStyle w:val="ab"/>
      </w:pPr>
      <w:r>
        <w:t>发言人1 问：公司在主要品类的销售情况如何？</w:t>
      </w:r>
    </w:p>
    <w:p>
      <w:r>
        <w:rPr>
          <w:rFonts w:ascii="等线(中文正文)" w:hAnsi="等线(中文正文)" w:cs="等线(中文正文)" w:eastAsia="等线(中文正文)"/>
          <w:b w:val="false"/>
          <w:i w:val="false"/>
          <w:sz w:val="20"/>
        </w:rPr>
        <w:t>发言人1 答：在农药板块，植物生长调节剂销量同比增长14.7%，营业收入增长8.9%。条件性业务通过产品结构优化和高毛利APD占比提升，以及向上下游原料延伸，实现了较好的盈利能力。杀菌剂销量同比下降4.24%，但营业收入仍在增长。其他农药如大成出厂销量同比增长8.56%。在肥料板块，水溶肥销售量同比增长22.75%，营业收入增长8.67%；复合肥和菌肥销售量增长7.13%，营业收入增长3.18%。</w:t>
      </w:r>
    </w:p>
    <w:p>
      <w:r>
        <w:rPr>
          <w:rFonts w:ascii="等线(中文正文)" w:hAnsi="等线(中文正文)" w:cs="等线(中文正文)" w:eastAsia="等线(中文正文)"/>
          <w:b w:val="false"/>
          <w:i w:val="false"/>
          <w:sz w:val="20"/>
        </w:rPr>
        <w:t/>
      </w:r>
    </w:p>
    <w:p>
      <w:pPr>
        <w:pStyle w:val="ab"/>
      </w:pPr>
      <w:r>
        <w:t>发言人1 问：公司成本费用、客户集中度及人员变动情况如何？</w:t>
      </w:r>
    </w:p>
    <w:p>
      <w:r>
        <w:rPr>
          <w:rFonts w:ascii="等线(中文正文)" w:hAnsi="等线(中文正文)" w:cs="等线(中文正文)" w:eastAsia="等线(中文正文)"/>
          <w:b w:val="false"/>
          <w:i w:val="false"/>
          <w:sz w:val="20"/>
        </w:rPr>
        <w:t>发言人1 答：公司生产成本中直接材料占比约为84%，原材料价格对公司成本有一定影响。销售费用为2.86亿元，同比增长9.48%，主要来自市场拓展和人员增加。研发费用为8900万，同比增长33%。客户集中度较低，前五大客户的销售额占比7.12%，同比有所提升。公司积极招聘新员工，其中新增人员主要集中在销售和技术服务岗位，以加强市场拓展和服务能力。</w:t>
      </w:r>
    </w:p>
    <w:p>
      <w:r>
        <w:rPr>
          <w:rFonts w:ascii="等线(中文正文)" w:hAnsi="等线(中文正文)" w:cs="等线(中文正文)" w:eastAsia="等线(中文正文)"/>
          <w:b w:val="false"/>
          <w:i w:val="false"/>
          <w:sz w:val="20"/>
        </w:rPr>
        <w:t/>
      </w:r>
    </w:p>
    <w:p>
      <w:pPr>
        <w:pStyle w:val="ab"/>
      </w:pPr>
      <w:r>
        <w:t>发言人1 问：公司的分红情况及资产负债状况如何？</w:t>
      </w:r>
    </w:p>
    <w:p>
      <w:r>
        <w:rPr>
          <w:rFonts w:ascii="等线(中文正文)" w:hAnsi="等线(中文正文)" w:cs="等线(中文正文)" w:eastAsia="等线(中文正文)"/>
          <w:b w:val="false"/>
          <w:i w:val="false"/>
          <w:sz w:val="20"/>
        </w:rPr>
        <w:t>发言人1 答：公司2025年计划分红方案为每十股配现金1元，同时以资本公积每10股转增2股，总计分配约9327万元，转增股本后总股本达到5.6亿股。2025年累计分红次数为三次，累计分配金额约为4.19亿。公司资产负债状况良好，现金流充沛，并且有持续高分红的传统，体现了管理层对股东利益的高度重视。</w:t>
      </w:r>
    </w:p>
    <w:p>
      <w:r>
        <w:rPr>
          <w:rFonts w:ascii="等线(中文正文)" w:hAnsi="等线(中文正文)" w:cs="等线(中文正文)" w:eastAsia="等线(中文正文)"/>
          <w:b w:val="false"/>
          <w:i w:val="false"/>
          <w:sz w:val="20"/>
        </w:rPr>
        <w:t/>
      </w:r>
    </w:p>
    <w:p>
      <w:pPr>
        <w:pStyle w:val="ab"/>
      </w:pPr>
      <w:r>
        <w:t>发言人1 问：2026年第一季度公司的经营状况如何？</w:t>
      </w:r>
    </w:p>
    <w:p>
      <w:r>
        <w:rPr>
          <w:rFonts w:ascii="等线(中文正文)" w:hAnsi="等线(中文正文)" w:cs="等线(中文正文)" w:eastAsia="等线(中文正文)"/>
          <w:b w:val="false"/>
          <w:i w:val="false"/>
          <w:sz w:val="20"/>
        </w:rPr>
        <w:t>发言人1 答：2026年第一季度公司实现营业收入3.8亿元，同比下降11.24%；净利润0.6亿元，同比下降23.5%；扣非后净利润0.59亿元，同比下降23.45%。毛利率为42.57%，同比下降3.68%。第一季度业绩下滑主要受季节性因素影响，尤其是早期的短期促销活动及税务前期影响。尽管如此，需求仍然存在，且受到战争影响的部分产品（如磷酸二氢钾）价格波动较大，但后续会逐步传导并恢复。</w:t>
      </w:r>
    </w:p>
    <w:p>
      <w:r>
        <w:rPr>
          <w:rFonts w:ascii="等线(中文正文)" w:hAnsi="等线(中文正文)" w:cs="等线(中文正文)" w:eastAsia="等线(中文正文)"/>
          <w:b w:val="false"/>
          <w:i w:val="false"/>
          <w:sz w:val="20"/>
        </w:rPr>
        <w:t/>
      </w:r>
    </w:p>
    <w:p>
      <w:pPr>
        <w:pStyle w:val="ab"/>
      </w:pPr>
      <w:r>
        <w:t>发言人1 问：关于公司一季度业绩情况，合同负债同比增长58%以及多收了四千多万预付款的原因是什么？</w:t>
      </w:r>
    </w:p>
    <w:p>
      <w:r>
        <w:rPr>
          <w:rFonts w:ascii="等线(中文正文)" w:hAnsi="等线(中文正文)" w:cs="等线(中文正文)" w:eastAsia="等线(中文正文)"/>
          <w:b w:val="false"/>
          <w:i w:val="false"/>
          <w:sz w:val="20"/>
        </w:rPr>
        <w:t>发言人1 答：一季度合同负债的大增和额外收取的预付款主要源于去年与今年同比在营收端保持稳健态势。经销商的打底意愿较强，且由于公司采取现码线政策，这为二三季度的销售旺季提供了确定性。</w:t>
      </w:r>
    </w:p>
    <w:p>
      <w:r>
        <w:rPr>
          <w:rFonts w:ascii="等线(中文正文)" w:hAnsi="等线(中文正文)" w:cs="等线(中文正文)" w:eastAsia="等线(中文正文)"/>
          <w:b w:val="false"/>
          <w:i w:val="false"/>
          <w:sz w:val="20"/>
        </w:rPr>
        <w:t/>
      </w:r>
    </w:p>
    <w:p>
      <w:pPr>
        <w:pStyle w:val="ab"/>
      </w:pPr>
      <w:r>
        <w:t>发言人1 问：公司在2025年的经营亮点有哪些？</w:t>
      </w:r>
    </w:p>
    <w:p>
      <w:r>
        <w:rPr>
          <w:rFonts w:ascii="等线(中文正文)" w:hAnsi="等线(中文正文)" w:cs="等线(中文正文)" w:eastAsia="等线(中文正文)"/>
          <w:b w:val="false"/>
          <w:i w:val="false"/>
          <w:sz w:val="20"/>
        </w:rPr>
        <w:t>发言人1 答：2025年的亮点包括研发投入持续加大，研发费用同比增长33.6%，新增农药登记证17个，肥料登记证12个，以及拥有338个评价分级证，其中包含调节剂和肥料等核心产品，为未来增长提供动力。此外，市场拓展方面，技术服务团队增加150人，新增渠道商620家，交付费用同比增长10%。</w:t>
      </w:r>
    </w:p>
    <w:p>
      <w:r>
        <w:rPr>
          <w:rFonts w:ascii="等线(中文正文)" w:hAnsi="等线(中文正文)" w:cs="等线(中文正文)" w:eastAsia="等线(中文正文)"/>
          <w:b w:val="false"/>
          <w:i w:val="false"/>
          <w:sz w:val="20"/>
        </w:rPr>
        <w:t/>
      </w:r>
    </w:p>
    <w:p>
      <w:pPr>
        <w:pStyle w:val="ab"/>
      </w:pPr>
      <w:r>
        <w:t>发言人1 问：公司的毛利率和产能利用率情况如何？</w:t>
      </w:r>
    </w:p>
    <w:p>
      <w:r>
        <w:rPr>
          <w:rFonts w:ascii="等线(中文正文)" w:hAnsi="等线(中文正文)" w:cs="等线(中文正文)" w:eastAsia="等线(中文正文)"/>
          <w:b w:val="false"/>
          <w:i w:val="false"/>
          <w:sz w:val="20"/>
        </w:rPr>
        <w:t>发言人1 答：在原材料价格相对稳定的情况下，公司综合毛利率保持稳定，并且产能利用率有所提升。同时，核心产品的生产量如农药、肥料均实现同比增长，尤其是调节剂和水龙头产销量及收入明显增长，带动了整体毛利率的提升。</w:t>
      </w:r>
    </w:p>
    <w:p>
      <w:r>
        <w:rPr>
          <w:rFonts w:ascii="等线(中文正文)" w:hAnsi="等线(中文正文)" w:cs="等线(中文正文)" w:eastAsia="等线(中文正文)"/>
          <w:b w:val="false"/>
          <w:i w:val="false"/>
          <w:sz w:val="20"/>
        </w:rPr>
        <w:t/>
      </w:r>
    </w:p>
    <w:p>
      <w:pPr>
        <w:pStyle w:val="ab"/>
      </w:pPr>
      <w:r>
        <w:t>发言人1 问：方案营销推广方面的表现怎样？</w:t>
      </w:r>
    </w:p>
    <w:p>
      <w:r>
        <w:rPr>
          <w:rFonts w:ascii="等线(中文正文)" w:hAnsi="等线(中文正文)" w:cs="等线(中文正文)" w:eastAsia="等线(中文正文)"/>
          <w:b w:val="false"/>
          <w:i w:val="false"/>
          <w:sz w:val="20"/>
        </w:rPr>
        <w:t>发言人1 答：自2023年起，公司坚持产品销售向方案转变，2025年全球方案覆盖全国约28个省市，涉及多种作物如玉米、小麦、水稻等，尽管部分区域受灾害影响，但方案营销推广面积仍较2024年有所增加。公司将继续标准化植物生长各环节方案，以提升客单价和客户粘性。</w:t>
      </w:r>
    </w:p>
    <w:p>
      <w:r>
        <w:rPr>
          <w:rFonts w:ascii="等线(中文正文)" w:hAnsi="等线(中文正文)" w:cs="等线(中文正文)" w:eastAsia="等线(中文正文)"/>
          <w:b w:val="false"/>
          <w:i w:val="false"/>
          <w:sz w:val="20"/>
        </w:rPr>
        <w:t/>
      </w:r>
    </w:p>
    <w:p>
      <w:pPr>
        <w:pStyle w:val="ab"/>
      </w:pPr>
      <w:r>
        <w:t>发言人1 问：关于补税情况的原因及长期税率预期是什么？</w:t>
      </w:r>
    </w:p>
    <w:p>
      <w:r>
        <w:rPr>
          <w:rFonts w:ascii="等线(中文正文)" w:hAnsi="等线(中文正文)" w:cs="等线(中文正文)" w:eastAsia="等线(中文正文)"/>
          <w:b w:val="false"/>
          <w:i w:val="false"/>
          <w:sz w:val="20"/>
        </w:rPr>
        <w:t>发言人1 答：去年四季度补税主要是因为国光旗下最大两家销售公司享受西部大开发优惠政策被税务部门取消，导致前三个季度数据受到影响。补税对25年的影响约为三千多万，是从24年开始补齐的。长期来看，税率预计将维持在20%左右。</w:t>
      </w:r>
    </w:p>
    <w:p>
      <w:r>
        <w:rPr>
          <w:rFonts w:ascii="等线(中文正文)" w:hAnsi="等线(中文正文)" w:cs="等线(中文正文)" w:eastAsia="等线(中文正文)"/>
          <w:b w:val="false"/>
          <w:i w:val="false"/>
          <w:sz w:val="20"/>
        </w:rPr>
        <w:t/>
      </w:r>
    </w:p>
    <w:p>
      <w:pPr>
        <w:pStyle w:val="ab"/>
      </w:pPr>
      <w:r>
        <w:t>发言人1 问：目前产品价格变动情况及对未来预期的看法？</w:t>
      </w:r>
    </w:p>
    <w:p>
      <w:r>
        <w:rPr>
          <w:rFonts w:ascii="等线(中文正文)" w:hAnsi="等线(中文正文)" w:cs="等线(中文正文)" w:eastAsia="等线(中文正文)"/>
          <w:b w:val="false"/>
          <w:i w:val="false"/>
          <w:sz w:val="20"/>
        </w:rPr>
        <w:t>发言人1 答：去年产品结构中，调节剂价格有所下滑，而查询性产品价格随行业整体走势略有下滑。进入2025年，尽管三月份农药价格有所上涨，但影响可能在一季度末体现。从四月份销售情况和后续预期看，不同品种农药价格有望逐步企稳或有所回升，特别是高端产品仍能保持较高毛利。此外，核心产品调节剂产能和产业链延伸增强，抗风险能力提升，总体保障可控。</w:t>
      </w:r>
    </w:p>
    <w:p>
      <w:r>
        <w:rPr>
          <w:rFonts w:ascii="等线(中文正文)" w:hAnsi="等线(中文正文)" w:cs="等线(中文正文)" w:eastAsia="等线(中文正文)"/>
          <w:b w:val="false"/>
          <w:i w:val="false"/>
          <w:sz w:val="20"/>
        </w:rPr>
        <w:t/>
      </w:r>
    </w:p>
    <w:p>
      <w:pPr>
        <w:pStyle w:val="ab"/>
      </w:pPr>
      <w:r>
        <w:t>发言人1 问：关于分红情况的长期预期是怎样的？</w:t>
      </w:r>
    </w:p>
    <w:p>
      <w:r>
        <w:rPr>
          <w:rFonts w:ascii="等线(中文正文)" w:hAnsi="等线(中文正文)" w:cs="等线(中文正文)" w:eastAsia="等线(中文正文)"/>
          <w:b w:val="false"/>
          <w:i w:val="false"/>
          <w:sz w:val="20"/>
        </w:rPr>
        <w:t>发言人1 答：公司自2023年以来分红比例较高，但在一些新产能推进上可能有所延迟或稳健推进。这意味着对于今年的整体风控预期可能存在较大调整，实际情况还需视新产能建设和市场推进情况而定。</w:t>
      </w:r>
    </w:p>
    <w:p>
      <w:r>
        <w:rPr>
          <w:rFonts w:ascii="等线(中文正文)" w:hAnsi="等线(中文正文)" w:cs="等线(中文正文)" w:eastAsia="等线(中文正文)"/>
          <w:b w:val="false"/>
          <w:i w:val="false"/>
          <w:sz w:val="20"/>
        </w:rPr>
        <w:t/>
      </w:r>
    </w:p>
    <w:p>
      <w:pPr>
        <w:pStyle w:val="ab"/>
      </w:pPr>
      <w:r>
        <w:t>发言人1 问：公司整体分红情况如何，以及今年的目标是什么？</w:t>
      </w:r>
    </w:p>
    <w:p>
      <w:r>
        <w:rPr>
          <w:rFonts w:ascii="等线(中文正文)" w:hAnsi="等线(中文正文)" w:cs="等线(中文正文)" w:eastAsia="等线(中文正文)"/>
          <w:b w:val="false"/>
          <w:i w:val="false"/>
          <w:sz w:val="20"/>
        </w:rPr>
        <w:t>发言人1 答：公司整体分红较强，上市11年来平均分红金额占总利润约70%。今年目标是尽量提高分红比例，计划不低于两次分红，新增中性分红计划。同时，由于调节剂行业高速增长，公司预计无论在收入端还是利润端都将保持增长。</w:t>
      </w:r>
    </w:p>
    <w:p>
      <w:r>
        <w:rPr>
          <w:rFonts w:ascii="等线(中文正文)" w:hAnsi="等线(中文正文)" w:cs="等线(中文正文)" w:eastAsia="等线(中文正文)"/>
          <w:b w:val="false"/>
          <w:i w:val="false"/>
          <w:sz w:val="20"/>
        </w:rPr>
        <w:t/>
      </w:r>
    </w:p>
    <w:p>
      <w:pPr>
        <w:pStyle w:val="ab"/>
      </w:pPr>
      <w:r>
        <w:t>发言人1 问：关于高管薪酬考核公式中目标经营目标完成率的计算范围能否详细解释一下？</w:t>
      </w:r>
    </w:p>
    <w:p>
      <w:r>
        <w:rPr>
          <w:rFonts w:ascii="等线(中文正文)" w:hAnsi="等线(中文正文)" w:cs="等线(中文正文)" w:eastAsia="等线(中文正文)"/>
          <w:b w:val="false"/>
          <w:i w:val="false"/>
          <w:sz w:val="20"/>
        </w:rPr>
        <w:t>发言人1 答：目标经营目标完成率的计算范围包括产值增长、营业收入增长和利润增长等目标。当达到这些目标后，通过加权计算得出完成率。</w:t>
      </w:r>
    </w:p>
    <w:p>
      <w:r>
        <w:rPr>
          <w:rFonts w:ascii="等线(中文正文)" w:hAnsi="等线(中文正文)" w:cs="等线(中文正文)" w:eastAsia="等线(中文正文)"/>
          <w:b w:val="false"/>
          <w:i w:val="false"/>
          <w:sz w:val="20"/>
        </w:rPr>
        <w:t/>
      </w:r>
    </w:p>
    <w:p>
      <w:pPr>
        <w:pStyle w:val="ab"/>
      </w:pPr>
      <w:r>
        <w:t>发言人1 问：今年制定目标的具体情况是怎样的？</w:t>
      </w:r>
    </w:p>
    <w:p>
      <w:r>
        <w:rPr>
          <w:rFonts w:ascii="等线(中文正文)" w:hAnsi="等线(中文正文)" w:cs="等线(中文正文)" w:eastAsia="等线(中文正文)"/>
          <w:b w:val="false"/>
          <w:i w:val="false"/>
          <w:sz w:val="20"/>
        </w:rPr>
        <w:t>发言人1 答：今年内部生产目标设定在10%到15%的增长政策上，且预计制度层面能达到20%的增长率。</w:t>
      </w:r>
    </w:p>
    <w:p>
      <w:r>
        <w:rPr>
          <w:rFonts w:ascii="等线(中文正文)" w:hAnsi="等线(中文正文)" w:cs="等线(中文正文)" w:eastAsia="等线(中文正文)"/>
          <w:b w:val="false"/>
          <w:i w:val="false"/>
          <w:sz w:val="20"/>
        </w:rPr>
        <w:t/>
      </w:r>
    </w:p>
    <w:p>
      <w:pPr>
        <w:pStyle w:val="ab"/>
      </w:pPr>
      <w:r>
        <w:t>发言人1 问：产品售价同比下降的原因是什么？主要是产品利润率还是产品价格问题？</w:t>
      </w:r>
    </w:p>
    <w:p>
      <w:r>
        <w:rPr>
          <w:rFonts w:ascii="等线(中文正文)" w:hAnsi="等线(中文正文)" w:cs="等线(中文正文)" w:eastAsia="等线(中文正文)"/>
          <w:b w:val="false"/>
          <w:i w:val="false"/>
          <w:sz w:val="20"/>
        </w:rPr>
        <w:t>发言人1 答：产品售价同比下降可能是因为销售结构变化，尤其是杀虫剂销量减少以及极端气候影响了某些产品的销售。但调节剂和水溶肥的销售数量同比增长，导致整体平均售价看似下降，但实际上毛利水平仍然稳定。</w:t>
      </w:r>
    </w:p>
    <w:p>
      <w:r>
        <w:rPr>
          <w:rFonts w:ascii="等线(中文正文)" w:hAnsi="等线(中文正文)" w:cs="等线(中文正文)" w:eastAsia="等线(中文正文)"/>
          <w:b w:val="false"/>
          <w:i w:val="false"/>
          <w:sz w:val="20"/>
        </w:rPr>
        <w:t/>
      </w:r>
    </w:p>
    <w:p>
      <w:pPr>
        <w:pStyle w:val="ab"/>
      </w:pPr>
      <w:r>
        <w:t>发言人1 问：去年大田解决方案推广的具体效果如何，以及今年的目标是什么？</w:t>
      </w:r>
    </w:p>
    <w:p>
      <w:r>
        <w:rPr>
          <w:rFonts w:ascii="等线(中文正文)" w:hAnsi="等线(中文正文)" w:cs="等线(中文正文)" w:eastAsia="等线(中文正文)"/>
          <w:b w:val="false"/>
          <w:i w:val="false"/>
          <w:sz w:val="20"/>
        </w:rPr>
        <w:t>发言人1 答：去年大田解决方案推广面积未达预期，主要是受中原地区极端气候影响。尽管如此，经济收入在其他气候稳定的区域仍达到了目标。今年暂无明确目标数据，但已观察到市场关注度提前，种植户开始关注下一季作物肥料。</w:t>
      </w:r>
    </w:p>
    <w:p>
      <w:r>
        <w:rPr>
          <w:rFonts w:ascii="等线(中文正文)" w:hAnsi="等线(中文正文)" w:cs="等线(中文正文)" w:eastAsia="等线(中文正文)"/>
          <w:b w:val="false"/>
          <w:i w:val="false"/>
          <w:sz w:val="20"/>
        </w:rPr>
        <w:t/>
      </w:r>
    </w:p>
    <w:p>
      <w:pPr>
        <w:pStyle w:val="ab"/>
      </w:pPr>
      <w:r>
        <w:t>发言人1 问：经济作物需求是否稳定，以及国家政策对终端需求的影响如何？</w:t>
      </w:r>
    </w:p>
    <w:p>
      <w:r>
        <w:rPr>
          <w:rFonts w:ascii="等线(中文正文)" w:hAnsi="等线(中文正文)" w:cs="等线(中文正文)" w:eastAsia="等线(中文正文)"/>
          <w:b w:val="false"/>
          <w:i w:val="false"/>
          <w:sz w:val="20"/>
        </w:rPr>
        <w:t>发言人1 答：目前经济作物需求相对稳定，尚未明显感受到需求变化带来的显著影响。拐点还未到来，可能需要等到小麦收购价提高并稳定后，种植户才会增加玉米等作物的投入。</w:t>
      </w:r>
    </w:p>
    <w:p>
      <w:r>
        <w:rPr>
          <w:rFonts w:ascii="等线(中文正文)" w:hAnsi="等线(中文正文)" w:cs="等线(中文正文)" w:eastAsia="等线(中文正文)"/>
          <w:b w:val="false"/>
          <w:i w:val="false"/>
          <w:sz w:val="20"/>
        </w:rPr>
        <w:t/>
      </w:r>
    </w:p>
    <w:p>
      <w:pPr>
        <w:pStyle w:val="ab"/>
      </w:pPr>
      <w:r>
        <w:t>发言人1 问：最近玉米关注度是否提升以及新标签管理政策的影响？</w:t>
      </w:r>
    </w:p>
    <w:p>
      <w:r>
        <w:rPr>
          <w:rFonts w:ascii="等线(中文正文)" w:hAnsi="等线(中文正文)" w:cs="等线(中文正文)" w:eastAsia="等线(中文正文)"/>
          <w:b w:val="false"/>
          <w:i w:val="false"/>
          <w:sz w:val="20"/>
        </w:rPr>
        <w:t>发言人1 答：玉米关注度确实有所提高，订货季节比去年同期提前。新标签管理条例实施后，标签变更导致出货速度放缓，市场上可能会出现一定程度的通胀预期。目前无法准确判断拐点何时到来，但相信随着新政策消化和市场调整，后期会有更明显的表现。</w:t>
      </w:r>
    </w:p>
    <w:p>
      <w:r>
        <w:rPr>
          <w:rFonts w:ascii="等线(中文正文)" w:hAnsi="等线(中文正文)" w:cs="等线(中文正文)" w:eastAsia="等线(中文正文)"/>
          <w:b w:val="false"/>
          <w:i w:val="false"/>
          <w:sz w:val="20"/>
        </w:rPr>
        <w:t/>
      </w:r>
    </w:p>
    <w:p>
      <w:pPr>
        <w:pStyle w:val="ab"/>
      </w:pPr>
      <w:r>
        <w:t>发言人1 问：对于一品政策的落实，政府和当地工商局有何措施来杜绝1月1日后生产的产品流入市场？</w:t>
      </w:r>
    </w:p>
    <w:p>
      <w:r>
        <w:rPr>
          <w:rFonts w:ascii="等线(中文正文)" w:hAnsi="等线(中文正文)" w:cs="等线(中文正文)" w:eastAsia="等线(中文正文)"/>
          <w:b w:val="false"/>
          <w:i w:val="false"/>
          <w:sz w:val="20"/>
        </w:rPr>
        <w:t>发言人1 答：政府及四川省农业厅下属的第二农业综合执法大队等专门的农业执法机构负责对此进行监管。他们会与经销商、零售商会晤，进行产品溯源和查处工作。同时，销售总公司也会根据情况调整策略，如转移到上市公司或母公司等。</w:t>
      </w:r>
    </w:p>
    <w:p>
      <w:r>
        <w:rPr>
          <w:rFonts w:ascii="等线(中文正文)" w:hAnsi="等线(中文正文)" w:cs="等线(中文正文)" w:eastAsia="等线(中文正文)"/>
          <w:b w:val="false"/>
          <w:i w:val="false"/>
          <w:sz w:val="20"/>
        </w:rPr>
        <w:t/>
      </w:r>
    </w:p>
    <w:p>
      <w:pPr>
        <w:pStyle w:val="ab"/>
      </w:pPr>
      <w:r>
        <w:t>发言人1 问：面对税率调整，公司是否有应对方案？</w:t>
      </w:r>
    </w:p>
    <w:p>
      <w:r>
        <w:rPr>
          <w:rFonts w:ascii="等线(中文正文)" w:hAnsi="等线(中文正文)" w:cs="等线(中文正文)" w:eastAsia="等线(中文正文)"/>
          <w:b w:val="false"/>
          <w:i w:val="false"/>
          <w:sz w:val="20"/>
        </w:rPr>
        <w:t>发言人1 答：目前公司对于整体营业模式与税率调整之间的关系正在研究，尚未找到完美的解决方案。虽然税率从15%调整到25%，但只针对销售端的股A类产业认定有所取消，而生产端税率较低。由于销售端处于商贸企业大目录下，随着全国建设统一大市场的推进，税率可能会趋同，这可能不是仅通过更换注册地点就能解决的问题。</w:t>
      </w:r>
    </w:p>
    <w:p>
      <w:r>
        <w:rPr>
          <w:rFonts w:ascii="等线(中文正文)" w:hAnsi="等线(中文正文)" w:cs="等线(中文正文)" w:eastAsia="等线(中文正文)"/>
          <w:b w:val="false"/>
          <w:i w:val="false"/>
          <w:sz w:val="20"/>
        </w:rPr>
        <w:t/>
      </w:r>
    </w:p>
    <w:p>
      <w:pPr>
        <w:pStyle w:val="ab"/>
      </w:pPr>
      <w:r>
        <w:t>发言人1 问：公司在销售端经营模式上是否会因税率变化而大幅度改变策略？</w:t>
      </w:r>
    </w:p>
    <w:p>
      <w:r>
        <w:rPr>
          <w:rFonts w:ascii="等线(中文正文)" w:hAnsi="等线(中文正文)" w:cs="等线(中文正文)" w:eastAsia="等线(中文正文)"/>
          <w:b w:val="false"/>
          <w:i w:val="false"/>
          <w:sz w:val="20"/>
        </w:rPr>
        <w:t>发言人1 答：销售端经营模式将以商品融资和技术服务为主，不会因税率变化而大幅度调整。尽管可以小范围尝试在股东内部产业目录下，但总体经营模式需保持稳定。</w:t>
      </w:r>
    </w:p>
    <w:p>
      <w:r>
        <w:rPr>
          <w:rFonts w:ascii="等线(中文正文)" w:hAnsi="等线(中文正文)" w:cs="等线(中文正文)" w:eastAsia="等线(中文正文)"/>
          <w:b w:val="false"/>
          <w:i w:val="false"/>
          <w:sz w:val="20"/>
        </w:rPr>
        <w:t/>
      </w:r>
    </w:p>
    <w:p>
      <w:pPr>
        <w:pStyle w:val="ab"/>
      </w:pPr>
      <w:r>
        <w:t>发言人1 问：公司2026年的目标招聘人数及当前招聘进展如何？</w:t>
      </w:r>
    </w:p>
    <w:p>
      <w:r>
        <w:rPr>
          <w:rFonts w:ascii="等线(中文正文)" w:hAnsi="等线(中文正文)" w:cs="等线(中文正文)" w:eastAsia="等线(中文正文)"/>
          <w:b w:val="false"/>
          <w:i w:val="false"/>
          <w:sz w:val="20"/>
        </w:rPr>
        <w:t>发言人1 答：2026年预计招聘约130至140名技术营销人员和畜牧技术研发团队成员，目前通过秋招和春招已基本完成招聘目标，相关新员工正在培训和实习中。</w:t>
      </w:r>
    </w:p>
    <w:p>
      <w:r>
        <w:rPr>
          <w:rFonts w:ascii="等线(中文正文)" w:hAnsi="等线(中文正文)" w:cs="等线(中文正文)" w:eastAsia="等线(中文正文)"/>
          <w:b w:val="false"/>
          <w:i w:val="false"/>
          <w:sz w:val="20"/>
        </w:rPr>
        <w:t/>
      </w:r>
    </w:p>
    <w:p>
      <w:pPr>
        <w:pStyle w:val="ab"/>
      </w:pPr>
      <w:r>
        <w:t>发言人1 问：经销商方面，对于2026年的增长计划有何想法？</w:t>
      </w:r>
    </w:p>
    <w:p>
      <w:r>
        <w:rPr>
          <w:rFonts w:ascii="等线(中文正文)" w:hAnsi="等线(中文正文)" w:cs="等线(中文正文)" w:eastAsia="等线(中文正文)"/>
          <w:b w:val="false"/>
          <w:i w:val="false"/>
          <w:sz w:val="20"/>
        </w:rPr>
        <w:t>发言人1 答：2026年将继续加强经销商渠道拓展，目标增加50%左右的经销商数量。目前公司已拥有6500家经销商，未来将把资源更多投入到渠道拓新上，并筛选优质经销商进行合作。</w:t>
      </w:r>
    </w:p>
    <w:p>
      <w:r>
        <w:rPr>
          <w:rFonts w:ascii="等线(中文正文)" w:hAnsi="等线(中文正文)" w:cs="等线(中文正文)" w:eastAsia="等线(中文正文)"/>
          <w:b w:val="false"/>
          <w:i w:val="false"/>
          <w:sz w:val="20"/>
        </w:rPr>
        <w:t/>
      </w:r>
    </w:p>
    <w:p>
      <w:pPr>
        <w:pStyle w:val="ab"/>
      </w:pPr>
      <w:r>
        <w:t>发言人1 问：去年及今年对经销商的规划是否还围绕营业客户，以及园林业务是否有增加经销商打算？</w:t>
      </w:r>
    </w:p>
    <w:p>
      <w:r>
        <w:rPr>
          <w:rFonts w:ascii="等线(中文正文)" w:hAnsi="等线(中文正文)" w:cs="等线(中文正文)" w:eastAsia="等线(中文正文)"/>
          <w:b w:val="false"/>
          <w:i w:val="false"/>
          <w:sz w:val="20"/>
        </w:rPr>
        <w:t>发言人1 答：去年和今年对经销商的规划仍以营业客户为主，直销客户（政府和无政府类）也有一定增量，但经销商因经济行情和房地产原因日子较为艰难。目前正在进行经销商渠道优化，筛选并维护优质经销商。</w:t>
      </w:r>
    </w:p>
    <w:p>
      <w:r>
        <w:rPr>
          <w:rFonts w:ascii="等线(中文正文)" w:hAnsi="等线(中文正文)" w:cs="等线(中文正文)" w:eastAsia="等线(中文正文)"/>
          <w:b w:val="false"/>
          <w:i w:val="false"/>
          <w:sz w:val="20"/>
        </w:rPr>
        <w:t/>
      </w:r>
    </w:p>
    <w:p>
      <w:pPr>
        <w:pStyle w:val="ab"/>
      </w:pPr>
      <w:r>
        <w:t>发言人1 问：关于研发方面，近年来投入情况如何？未来有何打算？</w:t>
      </w:r>
    </w:p>
    <w:p>
      <w:r>
        <w:rPr>
          <w:rFonts w:ascii="等线(中文正文)" w:hAnsi="等线(中文正文)" w:cs="等线(中文正文)" w:eastAsia="等线(中文正文)"/>
          <w:b w:val="false"/>
          <w:i w:val="false"/>
          <w:sz w:val="20"/>
        </w:rPr>
        <w:t>发言人1 答：过去两三年研发费用持续增长，预计未来两三年仍会保持较高强度的研发投入，以支持智能证件的研发和维护，并应对因证件调整带来的机器费用分批支付问题。</w:t>
      </w:r>
    </w:p>
    <w:p>
      <w:r>
        <w:rPr>
          <w:rFonts w:ascii="等线(中文正文)" w:hAnsi="等线(中文正文)" w:cs="等线(中文正文)" w:eastAsia="等线(中文正文)"/>
          <w:b w:val="false"/>
          <w:i w:val="false"/>
          <w:sz w:val="20"/>
        </w:rPr>
        <w:t/>
      </w:r>
    </w:p>
    <w:p>
      <w:pPr>
        <w:pStyle w:val="ab"/>
      </w:pPr>
      <w:r>
        <w:t>发言人1 问：如果今年因原油价格上涨导致全程方案成本上升，公司是否有调整合同价格或预付款的机制？</w:t>
      </w:r>
    </w:p>
    <w:p>
      <w:r>
        <w:rPr>
          <w:rFonts w:ascii="等线(中文正文)" w:hAnsi="等线(中文正文)" w:cs="等线(中文正文)" w:eastAsia="等线(中文正文)"/>
          <w:b w:val="false"/>
          <w:i w:val="false"/>
          <w:sz w:val="20"/>
        </w:rPr>
        <w:t>发言人1 答：尽管目前预期今年全程方案的情况比去年更好，但由于受到原油价格上涨的影响，确实存在调整价格或预付款的可能性。公司会根据实际情况，在保持原有合同的基础上，灵活调整全程方案的价格或汇率，以适应市场变化。</w:t>
      </w:r>
    </w:p>
    <w:p>
      <w:r>
        <w:rPr>
          <w:rFonts w:ascii="等线(中文正文)" w:hAnsi="等线(中文正文)" w:cs="等线(中文正文)" w:eastAsia="等线(中文正文)"/>
          <w:b w:val="false"/>
          <w:i w:val="false"/>
          <w:sz w:val="20"/>
        </w:rPr>
        <w:t/>
      </w:r>
    </w:p>
    <w:p>
      <w:pPr>
        <w:pStyle w:val="ab"/>
      </w:pPr>
      <w:r>
        <w:t>发言人1 问：价格调整是否需要根据不同情况处理，例如针对已支付预付款的经销商和意向并购的客户？</w:t>
      </w:r>
    </w:p>
    <w:p>
      <w:r>
        <w:rPr>
          <w:rFonts w:ascii="等线(中文正文)" w:hAnsi="等线(中文正文)" w:cs="等线(中文正文)" w:eastAsia="等线(中文正文)"/>
          <w:b w:val="false"/>
          <w:i w:val="false"/>
          <w:sz w:val="20"/>
        </w:rPr>
        <w:t>发言人1 答：是的，价格调整确实要视情况而定。对于已支付预付款的经销商，我们会与经销商协商，可能通过让他们减少调整或提前起用部分产品来应对。而对于只存在意向并购的客户，则需按照原有计划进行。</w:t>
      </w:r>
    </w:p>
    <w:p>
      <w:r>
        <w:rPr>
          <w:rFonts w:ascii="等线(中文正文)" w:hAnsi="等线(中文正文)" w:cs="等线(中文正文)" w:eastAsia="等线(中文正文)"/>
          <w:b w:val="false"/>
          <w:i w:val="false"/>
          <w:sz w:val="20"/>
        </w:rPr>
        <w:t/>
      </w:r>
    </w:p>
    <w:p>
      <w:pPr>
        <w:pStyle w:val="ab"/>
      </w:pPr>
      <w:r>
        <w:t>发言人1 问：如果二季度成本端价格进一步上涨，是否意味着我们不得不被动减少盈利能力？目前渠道方案中，大学业务和经济作物各占多少比例，以及新方案与原有方案相比，在收入上有何差异？</w:t>
      </w:r>
    </w:p>
    <w:p>
      <w:r>
        <w:rPr>
          <w:rFonts w:ascii="等线(中文正文)" w:hAnsi="等线(中文正文)" w:cs="等线(中文正文)" w:eastAsia="等线(中文正文)"/>
          <w:b w:val="false"/>
          <w:i w:val="false"/>
          <w:sz w:val="20"/>
        </w:rPr>
        <w:t>发言人1 答：是的，如果二季度成本端价格上升，我们可能需要调整策略以保持盈利能力。同时，我们正在积极抢占终端市场，但目前仍在观察和调整中。由于过去几年受制于粮食价格，大学业务的空间发展相对缓慢。去年，部分大型作物转向经济作物，导致大田面积虽小但价值较低。今年，为了应对不确定性，我们关注经济作物的同时也在拓展大学业务，预计未来将两者两手抓。</w:t>
      </w:r>
    </w:p>
    <w:p>
      <w:r>
        <w:rPr>
          <w:rFonts w:ascii="等线(中文正文)" w:hAnsi="等线(中文正文)" w:cs="等线(中文正文)" w:eastAsia="等线(中文正文)"/>
          <w:b w:val="false"/>
          <w:i w:val="false"/>
          <w:sz w:val="20"/>
        </w:rPr>
        <w:t/>
      </w:r>
    </w:p>
    <w:p>
      <w:pPr>
        <w:pStyle w:val="ab"/>
      </w:pPr>
      <w:r>
        <w:t>发言人1 问：登记证获取难度如何？是否存在同行无法获取登记证的情况？以及公司在海外销售布局及进展如何？</w:t>
      </w:r>
    </w:p>
    <w:p>
      <w:r>
        <w:rPr>
          <w:rFonts w:ascii="等线(中文正文)" w:hAnsi="等线(中文正文)" w:cs="等线(中文正文)" w:eastAsia="等线(中文正文)"/>
          <w:b w:val="false"/>
          <w:i w:val="false"/>
          <w:sz w:val="20"/>
        </w:rPr>
        <w:t>发言人1 答：获取登记证存在难度，主要体现在需要原有证据来源证明，核心原料企业不愿提供此类证明。此外，过程耗时长，通常需要1到2年甚至更久，且费用高昂，一般超过百万。关于海外销售，公司已经开始布局，包括增加新登记证，推动原料出口，并委托大股东进行海外登记。虽然海外市场增长短期内可能较慢，但长远来看是一个重要的发展方向。</w:t>
      </w:r>
    </w:p>
    <w:p>
      <w:r>
        <w:rPr>
          <w:rFonts w:ascii="等线(中文正文)" w:hAnsi="等线(中文正文)" w:cs="等线(中文正文)" w:eastAsia="等线(中文正文)"/>
          <w:b w:val="false"/>
          <w:i w:val="false"/>
          <w:sz w:val="20"/>
        </w:rPr>
        <w:t/>
      </w:r>
    </w:p>
    <w:p>
      <w:pPr>
        <w:pStyle w:val="ab"/>
      </w:pPr>
      <w:r>
        <w:t>发言人1 问：公司如何评价全程方案营销模式的进展，并预计今年的增长来源有哪些？</w:t>
      </w:r>
    </w:p>
    <w:p>
      <w:r>
        <w:rPr>
          <w:rFonts w:ascii="等线(中文正文)" w:hAnsi="等线(中文正文)" w:cs="等线(中文正文)" w:eastAsia="等线(中文正文)"/>
          <w:b w:val="false"/>
          <w:i w:val="false"/>
          <w:sz w:val="20"/>
        </w:rPr>
        <w:t>发言人1 答：公司会从多个维度评估全程方案营销模式的进展，但具体评价指标和今年预计的增长来源验证内容并未在对话中详细说明。</w:t>
      </w:r>
    </w:p>
    <w:p>
      <w:r>
        <w:rPr>
          <w:rFonts w:ascii="等线(中文正文)" w:hAnsi="等线(中文正文)" w:cs="等线(中文正文)" w:eastAsia="等线(中文正文)"/>
          <w:b w:val="false"/>
          <w:i w:val="false"/>
          <w:sz w:val="20"/>
        </w:rPr>
        <w:t/>
      </w:r>
    </w:p>
    <w:p>
      <w:pPr>
        <w:pStyle w:val="ab"/>
      </w:pPr>
      <w:r>
        <w:t>发言人1 问：针对方案营销的经销商结构，现在提升的工作进展到什么程度了？</w:t>
      </w:r>
    </w:p>
    <w:p>
      <w:r>
        <w:rPr>
          <w:rFonts w:ascii="等线(中文正文)" w:hAnsi="等线(中文正文)" w:cs="等线(中文正文)" w:eastAsia="等线(中文正文)"/>
          <w:b w:val="false"/>
          <w:i w:val="false"/>
          <w:sz w:val="20"/>
        </w:rPr>
        <w:t>发言人1 答：我们已经从最初需要我们指导经销商讲解方案，到现在很多经销商主动报名参与，并且我们会进行筛选和评比，看他们愿意提供多少资源支持。这两年来，经销商对方案能力的提升明显增多。</w:t>
      </w:r>
    </w:p>
    <w:p>
      <w:r>
        <w:rPr>
          <w:rFonts w:ascii="等线(中文正文)" w:hAnsi="等线(中文正文)" w:cs="等线(中文正文)" w:eastAsia="等线(中文正文)"/>
          <w:b w:val="false"/>
          <w:i w:val="false"/>
          <w:sz w:val="20"/>
        </w:rPr>
        <w:t/>
      </w:r>
    </w:p>
    <w:p>
      <w:pPr>
        <w:pStyle w:val="ab"/>
      </w:pPr>
      <w:r>
        <w:t>发言人1 问：为什么在政策背景之下，250公司在大屏上面的增速还是会被粮价和售后原因显著影响？</w:t>
      </w:r>
    </w:p>
    <w:p>
      <w:r>
        <w:rPr>
          <w:rFonts w:ascii="等线(中文正文)" w:hAnsi="等线(中文正文)" w:cs="等线(中文正文)" w:eastAsia="等线(中文正文)"/>
          <w:b w:val="false"/>
          <w:i w:val="false"/>
          <w:sz w:val="20"/>
        </w:rPr>
        <w:t>发言人1 答：核心原因在于天气因素，特别是极端气候导致粮食增速放缓，直接影响了我们的全面方案推广周期。此外，国家农业技术中心推广的一分多促政策虽有助于提高粮食单产，但其依赖于科学指导下的调节性原料使用，而这些原料往往无法明确标注在产品上。25年中原地区（如山东、河南、河北、安徽）受极端气候影响较大，且粮价波动也影响了种植户的投资积极性和用肥用药习惯。</w:t>
      </w:r>
    </w:p>
    <w:p>
      <w:r>
        <w:rPr>
          <w:rFonts w:ascii="等线(中文正文)" w:hAnsi="等线(中文正文)" w:cs="等线(中文正文)" w:eastAsia="等线(中文正文)"/>
          <w:b w:val="false"/>
          <w:i w:val="false"/>
          <w:sz w:val="20"/>
        </w:rPr>
        <w:t/>
      </w:r>
    </w:p>
    <w:p>
      <w:pPr>
        <w:pStyle w:val="ab"/>
      </w:pPr>
      <w:r>
        <w:t>发言人1 问：如果假设极端气候有所改善，粮价有所增长，中原地区是否会出现一个大前程的方案提升增速过程？</w:t>
      </w:r>
    </w:p>
    <w:p>
      <w:r>
        <w:rPr>
          <w:rFonts w:ascii="等线(中文正文)" w:hAnsi="等线(中文正文)" w:cs="等线(中文正文)" w:eastAsia="等线(中文正文)"/>
          <w:b w:val="false"/>
          <w:i w:val="false"/>
          <w:sz w:val="20"/>
        </w:rPr>
        <w:t>发言人1 答：是的，如果气候恢复正常，粮价有所增长，那么在中原地区将会是一个方案提升增速的良好时机。最近的气候好转和粮价预期提升已使得种植户的投资积极性增强。</w:t>
      </w:r>
    </w:p>
    <w:p>
      <w:r>
        <w:rPr>
          <w:rFonts w:ascii="等线(中文正文)" w:hAnsi="等线(中文正文)" w:cs="等线(中文正文)" w:eastAsia="等线(中文正文)"/>
          <w:b w:val="false"/>
          <w:i w:val="false"/>
          <w:sz w:val="20"/>
        </w:rPr>
        <w:t/>
      </w:r>
    </w:p>
    <w:p>
      <w:pPr>
        <w:pStyle w:val="ab"/>
      </w:pPr>
      <w:r>
        <w:t>发言人1 问：一季度净利润同比下降20%多，能否量化分析一下其中季节性原因和其他可能影响？</w:t>
      </w:r>
    </w:p>
    <w:p>
      <w:r>
        <w:rPr>
          <w:rFonts w:ascii="等线(中文正文)" w:hAnsi="等线(中文正文)" w:cs="等线(中文正文)" w:eastAsia="等线(中文正文)"/>
          <w:b w:val="false"/>
          <w:i w:val="false"/>
          <w:sz w:val="20"/>
        </w:rPr>
        <w:t>发言人1 答：一季度净利润下降主要受毛利率影响，而非税率因素。毛利率受影响较大主要是由于销售结构变化，比如水溶肥等高毛利产品的销售下滑，以及部分原料成本波动。但整体而言，其他产品的毛利率相对稳定。</w:t>
      </w:r>
    </w:p>
    <w:p>
      <w:r>
        <w:rPr>
          <w:rFonts w:ascii="等线(中文正文)" w:hAnsi="等线(中文正文)" w:cs="等线(中文正文)" w:eastAsia="等线(中文正文)"/>
          <w:b w:val="false"/>
          <w:i w:val="false"/>
          <w:sz w:val="20"/>
        </w:rPr>
        <w:t/>
      </w:r>
    </w:p>
    <w:p>
      <w:pPr>
        <w:pStyle w:val="ab"/>
      </w:pPr>
      <w:r>
        <w:t>发言人1 问：合同负债的增加主要来自于哪些领域？经销商为何选择增加预付款？公司如何解读这一现象？</w:t>
      </w:r>
    </w:p>
    <w:p>
      <w:r>
        <w:rPr>
          <w:rFonts w:ascii="等线(中文正文)" w:hAnsi="等线(中文正文)" w:cs="等线(中文正文)" w:eastAsia="等线(中文正文)"/>
          <w:b w:val="false"/>
          <w:i w:val="false"/>
          <w:sz w:val="20"/>
        </w:rPr>
        <w:t>发言人1 答：合同负债增加主要源于经销商对产品的需求，今年与去年同期相比，销售节奏有所不同。去年天气偏冷使得经销商提前购买并预期价格平稳，而今年价格上涨且存在国际形势变化等因素，导致经销商观望并增加预付款。同时，这也反映出市场需求依然存在。</w:t>
      </w:r>
    </w:p>
    <w:p>
      <w:r>
        <w:rPr>
          <w:rFonts w:ascii="等线(中文正文)" w:hAnsi="等线(中文正文)" w:cs="等线(中文正文)" w:eastAsia="等线(中文正文)"/>
          <w:b w:val="false"/>
          <w:i w:val="false"/>
          <w:sz w:val="20"/>
        </w:rPr>
        <w:t/>
      </w:r>
    </w:p>
    <w:p>
      <w:pPr>
        <w:pStyle w:val="ab"/>
      </w:pPr>
      <w:r>
        <w:t>发言人1 问：梨半蒸时间拉长对我们原料成本方面会有何影响？</w:t>
      </w:r>
    </w:p>
    <w:p>
      <w:r>
        <w:rPr>
          <w:rFonts w:ascii="等线(中文正文)" w:hAnsi="等线(中文正文)" w:cs="等线(中文正文)" w:eastAsia="等线(中文正文)"/>
          <w:b w:val="false"/>
          <w:i w:val="false"/>
          <w:sz w:val="20"/>
        </w:rPr>
        <w:t>发言人1 答：短期之内，梨半蒸时间延长对原料成本的影响有限，因为我们会进行一定的淡储。长期来看，若库存、产量及销售情况匹配，可能出现价格上涨，但只要农药不出现大幅度突然性上涨，成本影响依然有限。若成本上升，终端售价也会相应稳步上涨。</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2026-04-26T23:52:33Z</dcterms:created>
  <dc:creator>Apache POI</dc:creator>
</cp:coreProperties>
</file>