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爱玛科技 260423_导读</w:t>
      </w:r>
    </w:p>
    <w:p>
      <w:pPr>
        <w:pStyle w:val="a0"/>
        <w:jc w:val="center"/>
      </w:pPr>
      <w:r>
        <w:t>2026年04月27日 07:43</w:t>
      </w:r>
    </w:p>
    <w:p>
      <w:pPr>
        <w:pStyle w:val="a7"/>
      </w:pPr>
      <w:r>
        <w:t>关键词</w:t>
      </w:r>
    </w:p>
    <w:p>
      <w:r>
        <w:rPr>
          <w:rFonts w:ascii="等线(中文正文)" w:hAnsi="等线(中文正文)" w:cs="等线(中文正文)" w:eastAsia="等线(中文正文)"/>
          <w:b w:val="false"/>
          <w:i w:val="false"/>
          <w:sz w:val="20"/>
        </w:rPr>
        <w:t xml:space="preserve">新国标 销量 利润 成本 需求 三轮车 配送 监管 安全 材料 3C认证 改装 渠道 品牌 高端 0G 爱玛 动销 电摩 东南亚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电动车行业面临成本上升压力，单车成本增加导致利润空间缩减，但市场对新国标实施后的销量恢复持乐观态度，预示行业向规范化发展，头部企业集中趋势明显。产品结构正从电摩向电动自行车转变，同时高端与大众市场并重。公司海外战略聚焦东南亚和美国，通过差异化产品和产能布局拓展市场。电池技术，尤其是钠电池，成为研发重点，以应对原材料价格上涨挑战。新生产基地建设将释放产能，有望推动公司业绩增长，整体显示行业在挑战中寻求机遇，企业通过多元化布局和技术创新应对市场变化。</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行业需求展望与单车成本影响分析</w:t>
      </w:r>
    </w:p>
    <w:p>
      <w:r>
        <w:rPr>
          <w:rFonts w:ascii="等线(中文正文)" w:hAnsi="等线(中文正文)" w:cs="等线(中文正文)" w:eastAsia="等线(中文正文)"/>
          <w:b w:val="false"/>
          <w:i w:val="false"/>
          <w:sz w:val="20"/>
        </w:rPr>
        <w:t>对话探讨了单车成本上涨对利润的影响，以及行业需求的未来展望。指出新国标落地后市场观望情绪消退，旺季动销有望回归正常，同时配送场景和三轮车业务的增长将推动需求，预计全年行业销量正增长。建议投资者关注长期投资价值，尽管短期内经营压力存在，但行业竞争力和海外市场拓展预示着持续改善的前景。</w:t>
      </w:r>
    </w:p>
    <w:p>
      <w:r>
        <w:rPr>
          <w:rFonts w:ascii="等线(中文正文)" w:hAnsi="等线(中文正文)" w:cs="等线(中文正文)" w:eastAsia="等线(中文正文)"/>
          <w:b w:val="false"/>
          <w:i w:val="false"/>
          <w:sz w:val="20"/>
        </w:rPr>
        <w:t/>
      </w:r>
    </w:p>
    <w:p>
      <w:pPr>
        <w:pStyle w:val="ab"/>
        <w:numPr>
          <w:numId w:val="2"/>
        </w:numPr>
      </w:pPr>
      <w:r>
        <w:t>04:11 2026年爱玛科技品牌战略与渠道拓展规划</w:t>
      </w:r>
    </w:p>
    <w:p>
      <w:r>
        <w:rPr>
          <w:rFonts w:ascii="等线(中文正文)" w:hAnsi="等线(中文正文)" w:cs="等线(中文正文)" w:eastAsia="等线(中文正文)"/>
          <w:b w:val="false"/>
          <w:i w:val="false"/>
          <w:sz w:val="20"/>
        </w:rPr>
        <w:t>讨论了爱玛科技2026年自主品牌与高端品牌0G的市场定位及产品规划，强调主品牌稳规模、高端品牌提结构和增利润的策略。同时，提及新国标实施初期渠道与消费者适应情况，以及公司未来渠道建设重心转向质量提升，计划通过‘万店千台’专项计划扩大优质门店覆盖。四月动销情况显示市场逐渐回暖，产品与终端需求匹配度提升。</w:t>
      </w:r>
    </w:p>
    <w:p>
      <w:r>
        <w:rPr>
          <w:rFonts w:ascii="等线(中文正文)" w:hAnsi="等线(中文正文)" w:cs="等线(中文正文)" w:eastAsia="等线(中文正文)"/>
          <w:b w:val="false"/>
          <w:i w:val="false"/>
          <w:sz w:val="20"/>
        </w:rPr>
        <w:t/>
      </w:r>
    </w:p>
    <w:p>
      <w:pPr>
        <w:pStyle w:val="ab"/>
        <w:numPr>
          <w:numId w:val="3"/>
        </w:numPr>
      </w:pPr>
      <w:r>
        <w:t>11:33 行业展望与销售结构分析</w:t>
      </w:r>
    </w:p>
    <w:p>
      <w:r>
        <w:rPr>
          <w:rFonts w:ascii="等线(中文正文)" w:hAnsi="等线(中文正文)" w:cs="等线(中文正文)" w:eastAsia="等线(中文正文)"/>
          <w:b w:val="false"/>
          <w:i w:val="false"/>
          <w:sz w:val="20"/>
        </w:rPr>
        <w:t>对话围绕行业展望、单车价格及电子与电摩销售结构展开。提到单车价格受多种因素影响，预计会上升，公司通过优化产品组合和供应链管理来维持盈利。销售结构方面，电摩占比因新国标实施快速回升，预计未来与电动车比例趋于均衡，行业单价将稳步增长。</w:t>
      </w:r>
    </w:p>
    <w:p>
      <w:r>
        <w:rPr>
          <w:rFonts w:ascii="等线(中文正文)" w:hAnsi="等线(中文正文)" w:cs="等线(中文正文)" w:eastAsia="等线(中文正文)"/>
          <w:b w:val="false"/>
          <w:i w:val="false"/>
          <w:sz w:val="20"/>
        </w:rPr>
        <w:t/>
      </w:r>
    </w:p>
    <w:p>
      <w:pPr>
        <w:pStyle w:val="ab"/>
        <w:numPr>
          <w:numId w:val="4"/>
        </w:numPr>
      </w:pPr>
      <w:r>
        <w:t>14:58 监管政策对电动车产业的影响与趋势</w:t>
      </w:r>
    </w:p>
    <w:p>
      <w:r>
        <w:rPr>
          <w:rFonts w:ascii="等线(中文正文)" w:hAnsi="等线(中文正文)" w:cs="等线(中文正文)" w:eastAsia="等线(中文正文)"/>
          <w:b w:val="false"/>
          <w:i w:val="false"/>
          <w:sz w:val="20"/>
        </w:rPr>
        <w:t>对话探讨了电动车监管政策的严格化趋势，特别是对一二线城市的监管加强，涉及安全底线的把控、全链条闭环监管以及非标车的清退。政策执行涵盖生产、销售及使用环节，强调新材料使用、3C认证、改装严查等措施，旨在提升安全性和环保性，预计未来监管将持续严格。</w:t>
      </w:r>
    </w:p>
    <w:p>
      <w:r>
        <w:rPr>
          <w:rFonts w:ascii="等线(中文正文)" w:hAnsi="等线(中文正文)" w:cs="等线(中文正文)" w:eastAsia="等线(中文正文)"/>
          <w:b w:val="false"/>
          <w:i w:val="false"/>
          <w:sz w:val="20"/>
        </w:rPr>
        <w:t/>
      </w:r>
    </w:p>
    <w:p>
      <w:pPr>
        <w:pStyle w:val="ab"/>
        <w:numPr>
          <w:numId w:val="5"/>
        </w:numPr>
      </w:pPr>
      <w:r>
        <w:t>19:53 公司海外布局与战略规划详解</w:t>
      </w:r>
    </w:p>
    <w:p>
      <w:r>
        <w:rPr>
          <w:rFonts w:ascii="等线(中文正文)" w:hAnsi="等线(中文正文)" w:cs="等线(中文正文)" w:eastAsia="等线(中文正文)"/>
          <w:b w:val="false"/>
          <w:i w:val="false"/>
          <w:sz w:val="20"/>
        </w:rPr>
        <w:t>对话深入探讨了公司在海外市场的布局策略与经营目标，重点提及了东南亚市场的产能布局及美国高端价值市场的差异化产品开发。在东南亚，公司依托越南和印尼的本土化品牌与平台，推进自研产能与渠道售后，同时利用广西工厂作为进出口贸易基地，有效应对市场波动。针对美国市场，公司正转型研发电动囚车和高尔夫球车等新品类，以满足当地需求。中长期，公司将海外战略视为全球化发展的重要一环，旨在通过全球渠道与产品布局，实现业绩增长。</w:t>
      </w:r>
    </w:p>
    <w:p>
      <w:r>
        <w:rPr>
          <w:rFonts w:ascii="等线(中文正文)" w:hAnsi="等线(中文正文)" w:cs="等线(中文正文)" w:eastAsia="等线(中文正文)"/>
          <w:b w:val="false"/>
          <w:i w:val="false"/>
          <w:sz w:val="20"/>
        </w:rPr>
        <w:t/>
      </w:r>
    </w:p>
    <w:p>
      <w:pPr>
        <w:pStyle w:val="ab"/>
        <w:numPr>
          <w:numId w:val="6"/>
        </w:numPr>
      </w:pPr>
      <w:r>
        <w:t>23:37 新国标下材料成本上涨应对策略及电模占比提升储备</w:t>
      </w:r>
    </w:p>
    <w:p>
      <w:r>
        <w:rPr>
          <w:rFonts w:ascii="等线(中文正文)" w:hAnsi="等线(中文正文)" w:cs="等线(中文正文)" w:eastAsia="等线(中文正文)"/>
          <w:b w:val="false"/>
          <w:i w:val="false"/>
          <w:sz w:val="20"/>
        </w:rPr>
        <w:t>讨论了新国标实施后，材料成本上涨的情况及应对策略，包括采用铝镁合金等复合材料以优化车身结构，实现轻量化设计，以及通过供应链优化和技术降本平滑价格波动。同时，探讨了围绕电模占比提升所做的准备，包括新品开发和生产组织调整，以适应市场变化，确保盈利水平。</w:t>
      </w:r>
    </w:p>
    <w:p>
      <w:r>
        <w:rPr>
          <w:rFonts w:ascii="等线(中文正文)" w:hAnsi="等线(中文正文)" w:cs="等线(中文正文)" w:eastAsia="等线(中文正文)"/>
          <w:b w:val="false"/>
          <w:i w:val="false"/>
          <w:sz w:val="20"/>
        </w:rPr>
        <w:t/>
      </w:r>
    </w:p>
    <w:p>
      <w:pPr>
        <w:pStyle w:val="ab"/>
        <w:numPr>
          <w:numId w:val="7"/>
        </w:numPr>
      </w:pPr>
      <w:r>
        <w:t>28:57 电摩市场结构化机会与公司应对策略</w:t>
      </w:r>
    </w:p>
    <w:p>
      <w:r>
        <w:rPr>
          <w:rFonts w:ascii="等线(中文正文)" w:hAnsi="等线(中文正文)" w:cs="等线(中文正文)" w:eastAsia="等线(中文正文)"/>
          <w:b w:val="false"/>
          <w:i w:val="false"/>
          <w:sz w:val="20"/>
        </w:rPr>
        <w:t>对话讨论了电摩市场在新国标下的结构性机会，公司通过产品矩阵升级、技术研发投入、渠道优化等措施，提升电摩占比和高毛利车型，以增强市场竞争能力。</w:t>
      </w:r>
    </w:p>
    <w:p>
      <w:r>
        <w:rPr>
          <w:rFonts w:ascii="等线(中文正文)" w:hAnsi="等线(中文正文)" w:cs="等线(中文正文)" w:eastAsia="等线(中文正文)"/>
          <w:b w:val="false"/>
          <w:i w:val="false"/>
          <w:sz w:val="20"/>
        </w:rPr>
        <w:t/>
      </w:r>
    </w:p>
    <w:p>
      <w:pPr>
        <w:pStyle w:val="ab"/>
        <w:numPr>
          <w:numId w:val="8"/>
        </w:numPr>
      </w:pPr>
      <w:r>
        <w:t>32:43 公司对钠电池技术路径与布局的看法</w:t>
      </w:r>
    </w:p>
    <w:p>
      <w:r>
        <w:rPr>
          <w:rFonts w:ascii="等线(中文正文)" w:hAnsi="等线(中文正文)" w:cs="等线(中文正文)" w:eastAsia="等线(中文正文)"/>
          <w:b w:val="false"/>
          <w:i w:val="false"/>
          <w:sz w:val="20"/>
        </w:rPr>
        <w:t>对话围绕钠电池技术路径及其商业化前景展开，阐述了钠电池在当前阶段的局限性，包括成本、系统适配改造、价格传导及回收体系不完善等问题。公司采取长期跟踪、样品检测与小批量试装策略，待产业链成熟后再推进规模化供应，展现了对钠电池技术发展的审慎态度与布局策略。</w:t>
      </w:r>
    </w:p>
    <w:p>
      <w:r>
        <w:rPr>
          <w:rFonts w:ascii="等线(中文正文)" w:hAnsi="等线(中文正文)" w:cs="等线(中文正文)" w:eastAsia="等线(中文正文)"/>
          <w:b w:val="false"/>
          <w:i w:val="false"/>
          <w:sz w:val="20"/>
        </w:rPr>
        <w:t/>
      </w:r>
    </w:p>
    <w:p>
      <w:pPr>
        <w:pStyle w:val="ab"/>
        <w:numPr>
          <w:numId w:val="9"/>
        </w:numPr>
      </w:pPr>
      <w:r>
        <w:t>36:10 电动三轮车市场增长与竞争格局分析</w:t>
      </w:r>
    </w:p>
    <w:p>
      <w:r>
        <w:rPr>
          <w:rFonts w:ascii="等线(中文正文)" w:hAnsi="等线(中文正文)" w:cs="等线(中文正文)" w:eastAsia="等线(中文正文)"/>
          <w:b w:val="false"/>
          <w:i w:val="false"/>
          <w:sz w:val="20"/>
        </w:rPr>
        <w:t>对话讨论了电动三轮车市场的稳定增长态势及其核心驱动因素，包括下沉市场需求和结构性增长。公司预计未来2-3年内行业将继续高速增长，并伴随竞争加速优化升级。产能规划和供应链优势将形成稳定壁垒，头部企业因研发能力和产品迭代能力更受青睐。同时，提及国内电动两轮车品牌的表现，强调了市场上的竞争格局和企业优势。</w:t>
      </w:r>
    </w:p>
    <w:p>
      <w:r>
        <w:rPr>
          <w:rFonts w:ascii="等线(中文正文)" w:hAnsi="等线(中文正文)" w:cs="等线(中文正文)" w:eastAsia="等线(中文正文)"/>
          <w:b w:val="false"/>
          <w:i w:val="false"/>
          <w:sz w:val="20"/>
        </w:rPr>
        <w:t/>
      </w:r>
    </w:p>
    <w:p>
      <w:pPr>
        <w:pStyle w:val="ab"/>
        <w:numPr>
          <w:numId w:val="10"/>
        </w:numPr>
      </w:pPr>
      <w:r>
        <w:t>39:36 行业出清与头部集中：电动两轮车市场趋势分析</w:t>
      </w:r>
    </w:p>
    <w:p>
      <w:r>
        <w:rPr>
          <w:rFonts w:ascii="等线(中文正文)" w:hAnsi="等线(中文正文)" w:cs="等线(中文正文)" w:eastAsia="等线(中文正文)"/>
          <w:b w:val="false"/>
          <w:i w:val="false"/>
          <w:sz w:val="20"/>
        </w:rPr>
        <w:t>讨论了电动两轮车行业当前的出清现象，指出小品牌因新国标、成本提升及研发供应链能力不足而加速淘汰，销售端出现大面积关停，资源向合规能力强、产品力稳定的品牌集中。行业出清被视为走向规范化和高质量发展的必然结果，有利于优势企业市场份额扩大和整体盈利质量提升，推动行业从分散无序向头部集中的量力协同格局发展。</w:t>
      </w:r>
    </w:p>
    <w:p>
      <w:r>
        <w:rPr>
          <w:rFonts w:ascii="等线(中文正文)" w:hAnsi="等线(中文正文)" w:cs="等线(中文正文)" w:eastAsia="等线(中文正文)"/>
          <w:b w:val="false"/>
          <w:i w:val="false"/>
          <w:sz w:val="20"/>
        </w:rPr>
        <w:t/>
      </w:r>
    </w:p>
    <w:p>
      <w:pPr>
        <w:pStyle w:val="ab"/>
        <w:numPr>
          <w:numId w:val="11"/>
        </w:numPr>
      </w:pPr>
      <w:r>
        <w:t>42:26 新增生产基地产能释放对业绩影响分析</w:t>
      </w:r>
    </w:p>
    <w:p>
      <w:r>
        <w:rPr>
          <w:rFonts w:ascii="等线(中文正文)" w:hAnsi="等线(中文正文)" w:cs="等线(中文正文)" w:eastAsia="等线(中文正文)"/>
          <w:b w:val="false"/>
          <w:i w:val="false"/>
          <w:sz w:val="20"/>
        </w:rPr>
        <w:t>对话围绕两个新增生产基地的产能释放节奏及其对业绩的影响展开。丰县基地旨在替代并升级河南三轮车生产基地，预计26年二三季度完成建设，初期将增加成本，但长期有助于业绩增长。兰州基地计划服务于一带一路中亚市场，预计26年四季度释放产能，对27年业绩贡献较大。两个基地的建设虽短期内增加运营成本，但通过新品类拓展和供应链稳定，有望消化费用增长，促进企业长期发展。</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深入探讨了电动车行业当前面临的主要挑战与机遇，特别是关注到单车成本显著提升对利润的直接影响。他们分析了行业需求趋势、未来销量预测以及投资者关注的公司业绩表现，展现出对行业前景的深刻理解。同时，他详细讨论了新国标实施对电动车行业的影响，包括对产品设计、生产标准的调整要求，以及企业如何有效应对原材料价格上涨策略。此外，他们还谈到了品牌策略的调整和海外市场的发展布局，展现了公司在全球化战略中的布局与思考。
在回应投资者关切的问题时，他详细阐述了电池技术的未来发展趋势，强调技术创新的重要性；分析了三轮车市场竞争格局，指出了公司在该领域的竞争优势与策略；并对新设生产基地的产能释放情况进行了展望，展现了公司扩大生产、提升产能的决心和规划。整体而言，他的发言全面而深刻，不仅涵盖了电动车行业的现状与挑战，还详细说明了公司的策略布局与未来展望。</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问：对于公司后续的经营改善和长期投资价值，能否谈谈您的看法？</w:t>
      </w:r>
    </w:p>
    <w:p>
      <w:r>
        <w:rPr>
          <w:rFonts w:ascii="等线(中文正文)" w:hAnsi="等线(中文正文)" w:cs="等线(中文正文)" w:eastAsia="等线(中文正文)"/>
          <w:b w:val="false"/>
          <w:i w:val="false"/>
          <w:sz w:val="20"/>
        </w:rPr>
        <w:t>发言人1 答：公司在新目标切换后，整体竞争力将持续提升。尤其随着三轮车业务拓展以及海外市场的发展空间，我们看好公司后续持续改善经营，并建议投资者关注公司的长期投资价值。</w:t>
      </w:r>
    </w:p>
    <w:p>
      <w:r>
        <w:rPr>
          <w:rFonts w:ascii="等线(中文正文)" w:hAnsi="等线(中文正文)" w:cs="等线(中文正文)" w:eastAsia="等线(中文正文)"/>
          <w:b w:val="false"/>
          <w:i w:val="false"/>
          <w:sz w:val="20"/>
        </w:rPr>
        <w:t/>
      </w:r>
    </w:p>
    <w:p>
      <w:pPr>
        <w:pStyle w:val="ab"/>
      </w:pPr>
      <w:r>
        <w:t>发言人1 问：我们今年整个公司全年的渠道拓展规划大概是怎样的？</w:t>
      </w:r>
    </w:p>
    <w:p>
      <w:r>
        <w:rPr>
          <w:rFonts w:ascii="等线(中文正文)" w:hAnsi="等线(中文正文)" w:cs="等线(中文正文)" w:eastAsia="等线(中文正文)"/>
          <w:b w:val="false"/>
          <w:i w:val="false"/>
          <w:sz w:val="20"/>
        </w:rPr>
        <w:t>发言人1 答：今年公司的渠道拓展情况较为特殊，处于新国标实施初期，公司正在优化适配产品以贴合市场需求，终端动销稳步回升。对于渠道建设，今年公司将重心从数量扩张逐步转向质量提升，并推行万店千台专项计划，将年销量超过1000台的优质门店数量从目前的2600多家提升到1万家。具体方式包括抢占优质门店资源、推动现有门店提质提效以及根据市场情况引入其他优质门店，优化深化渠道结构，增强渠道竞争力。</w:t>
      </w:r>
    </w:p>
    <w:p>
      <w:r>
        <w:rPr>
          <w:rFonts w:ascii="等线(中文正文)" w:hAnsi="等线(中文正文)" w:cs="等线(中文正文)" w:eastAsia="等线(中文正文)"/>
          <w:b w:val="false"/>
          <w:i w:val="false"/>
          <w:sz w:val="20"/>
        </w:rPr>
        <w:t/>
      </w:r>
    </w:p>
    <w:p>
      <w:pPr>
        <w:pStyle w:val="ab"/>
      </w:pPr>
      <w:r>
        <w:t>发言人1 问：公司今年怎么展望，就是对于单车价格以及电子和电摩今年的一个销售结构？</w:t>
      </w:r>
    </w:p>
    <w:p>
      <w:r>
        <w:rPr>
          <w:rFonts w:ascii="等线(中文正文)" w:hAnsi="等线(中文正文)" w:cs="等线(中文正文)" w:eastAsia="等线(中文正文)"/>
          <w:b w:val="false"/>
          <w:i w:val="false"/>
          <w:sz w:val="20"/>
        </w:rPr>
        <w:t>发言人1 答：单车价格和盈利水平主要受产品结构、市场竞争、原材料成本及规模效应等因素影响。我们预计价格会有所上升，公司将通过优化产品组合、提升高附加值车型占比及强化供应链管理等方式维持合理盈利水平。销售结构方面，2025年前电摩占比80%，电子20%。新国标实施后，电摩占比迅速增长，但随着电子产品迭代被市场接受，电摩比重可能回落，预计未来电子和电摩占比将更接近，整体行业单价有望稳步增长。</w:t>
      </w:r>
    </w:p>
    <w:p>
      <w:r>
        <w:rPr>
          <w:rFonts w:ascii="等线(中文正文)" w:hAnsi="等线(中文正文)" w:cs="等线(中文正文)" w:eastAsia="等线(中文正文)"/>
          <w:b w:val="false"/>
          <w:i w:val="false"/>
          <w:sz w:val="20"/>
        </w:rPr>
        <w:t/>
      </w:r>
    </w:p>
    <w:p>
      <w:pPr>
        <w:pStyle w:val="ab"/>
      </w:pPr>
      <w:r>
        <w:t>发言人1 问：关于监管政策这一块，领导怎么去展望后续的监管需求或节奏，能否给我们一个指引？</w:t>
      </w:r>
    </w:p>
    <w:p>
      <w:r>
        <w:rPr>
          <w:rFonts w:ascii="等线(中文正文)" w:hAnsi="等线(中文正文)" w:cs="等线(中文正文)" w:eastAsia="等线(中文正文)"/>
          <w:b w:val="false"/>
          <w:i w:val="false"/>
          <w:sz w:val="20"/>
        </w:rPr>
        <w:t>发言人1 答：目前监管角度关注一二线城市，监管需求更高。现阶段监管要求严格把控安全底线，尤其是针对火灾事故的原因进行整改，从材料端使用防火阻燃和环保材料加强安全监管。同时，监管已从流通场景转向全链条闭环监管，包括生产、销售、使用等环节，严厉打击非标准改装行为，并加大违法案件查处力度。预计一季度一二线城市的流通端监管仍将保持严格态势，围绕存量市场的消化和非标车的清退进行有效执行。此外，技术升级如北斗和通讯模组的应用，以及多部门联动进行溯源追查，共同推进整体监管要求的落实。</w:t>
      </w:r>
    </w:p>
    <w:p>
      <w:r>
        <w:rPr>
          <w:rFonts w:ascii="等线(中文正文)" w:hAnsi="等线(中文正文)" w:cs="等线(中文正文)" w:eastAsia="等线(中文正文)"/>
          <w:b w:val="false"/>
          <w:i w:val="false"/>
          <w:sz w:val="20"/>
        </w:rPr>
        <w:t/>
      </w:r>
    </w:p>
    <w:p>
      <w:pPr>
        <w:pStyle w:val="ab"/>
      </w:pPr>
      <w:r>
        <w:t>发言人1 问：目前我们在海外的一些新的布局策略，以及今年或远期的具体经营目标是什么样的？</w:t>
      </w:r>
    </w:p>
    <w:p>
      <w:r>
        <w:rPr>
          <w:rFonts w:ascii="等线(中文正文)" w:hAnsi="等线(中文正文)" w:cs="等线(中文正文)" w:eastAsia="等线(中文正文)"/>
          <w:b w:val="false"/>
          <w:i w:val="false"/>
          <w:sz w:val="20"/>
        </w:rPr>
        <w:t>发言人1 答：我们一直围绕着经营战略进行布局，今年看到了海外市场较好的发展机会。目前在东南亚地区，产能布局主要在越南和印尼，依托国内成熟的技术积淀、成本管控、供应链优势和品牌优势，实现了本土化品牌和平台的建设，并在去年二三季度开始量产并推进渠道。对于越南市场的消费需求变化，我们正在持续观望。同时，通过越南、印尼自由产能与广西工厂进出口贸易基地配合，解决东南亚产能不足问题。</w:t>
      </w:r>
    </w:p>
    <w:p>
      <w:r>
        <w:rPr>
          <w:rFonts w:ascii="等线(中文正文)" w:hAnsi="等线(中文正文)" w:cs="等线(中文正文)" w:eastAsia="等线(中文正文)"/>
          <w:b w:val="false"/>
          <w:i w:val="false"/>
          <w:sz w:val="20"/>
        </w:rPr>
        <w:t/>
      </w:r>
    </w:p>
    <w:p>
      <w:pPr>
        <w:pStyle w:val="ab"/>
      </w:pPr>
      <w:r>
        <w:t>发言人1 问：围绕电摩占比提升做了哪些储备，包括新品和生产组织上的准备？</w:t>
      </w:r>
    </w:p>
    <w:p>
      <w:r>
        <w:rPr>
          <w:rFonts w:ascii="等线(中文正文)" w:hAnsi="等线(中文正文)" w:cs="等线(中文正文)" w:eastAsia="等线(中文正文)"/>
          <w:b w:val="false"/>
          <w:i w:val="false"/>
          <w:sz w:val="20"/>
        </w:rPr>
        <w:t>发言人1 答：针对电摩占比提升，公司进行了多方面的准备。在材料成本方面，尽管面临原材料价格波动带来的压力，公司会通过规模化采购等方式尽量降低对终端价格的影响。同时，针对新国标要求的新材料，公司采用铝镁合金等复合材料以优化车身结构、实现轻量化设计并提升产品质量，尽管单价较高，但通过结构优化和规模化应用，成本可控。在新品和生产组织准备上，公司将根据市场需求和自身战略规划，持续推出符合新国标要求的产品并优化生产组织，确保供应链稳定和成本效率。</w:t>
      </w:r>
    </w:p>
    <w:p>
      <w:r>
        <w:rPr>
          <w:rFonts w:ascii="等线(中文正文)" w:hAnsi="等线(中文正文)" w:cs="等线(中文正文)" w:eastAsia="等线(中文正文)"/>
          <w:b w:val="false"/>
          <w:i w:val="false"/>
          <w:sz w:val="20"/>
        </w:rPr>
        <w:t/>
      </w:r>
    </w:p>
    <w:p>
      <w:pPr>
        <w:pStyle w:val="ab"/>
      </w:pPr>
      <w:r>
        <w:t>发言人1 问：新国标实施后，材料成本是否有较大上涨？如何应对原材料价格上涨？</w:t>
      </w:r>
    </w:p>
    <w:p>
      <w:r>
        <w:rPr>
          <w:rFonts w:ascii="等线(中文正文)" w:hAnsi="等线(中文正文)" w:cs="等线(中文正文)" w:eastAsia="等线(中文正文)"/>
          <w:b w:val="false"/>
          <w:i w:val="false"/>
          <w:sz w:val="20"/>
        </w:rPr>
        <w:t>发言人1 答：新国标实施导致材料成本上涨约10%至15%，其中新材料价格上涨较为明显，如铝镁合金等复合材料的成本高于传统塑料件。但公司可通过结构优化和规模化应用使成本保持可控。对于原材料价格上涨，公司主要通过合理调整上下游产品售价来覆盖成本压力，并努力减少对终端价格的影响。短期看，原材料供应紧张等因素可能导致成本阶段性上行；中期随着产能释放和技术进步，成本有望改善；长期则通过优化材料配方、供应链集中管控及技术降本等方式，平滑价格波动，保障盈利水平。</w:t>
      </w:r>
    </w:p>
    <w:p>
      <w:r>
        <w:rPr>
          <w:rFonts w:ascii="等线(中文正文)" w:hAnsi="等线(中文正文)" w:cs="等线(中文正文)" w:eastAsia="等线(中文正文)"/>
          <w:b w:val="false"/>
          <w:i w:val="false"/>
          <w:sz w:val="20"/>
        </w:rPr>
        <w:t/>
      </w:r>
    </w:p>
    <w:p>
      <w:pPr>
        <w:pStyle w:val="ab"/>
      </w:pPr>
      <w:r>
        <w:t>发言人1 问：电摩占比方面，公司是如何看待和布局的？</w:t>
      </w:r>
    </w:p>
    <w:p>
      <w:r>
        <w:rPr>
          <w:rFonts w:ascii="等线(中文正文)" w:hAnsi="等线(中文正文)" w:cs="等线(中文正文)" w:eastAsia="等线(中文正文)"/>
          <w:b w:val="false"/>
          <w:i w:val="false"/>
          <w:sz w:val="20"/>
        </w:rPr>
        <w:t>发言人1 答：公司许多高端产品与电子和电摩共享同一平台生产，新国标实施后，电摩赛道出现结构性机会。公司高度重视这一变化，并针对电摩占比的持续提升做了储备和明确的增长路径规划。在产品矩阵上，公司将全面升级高性能电摩和电芯膜产品，以覆盖通勤、商务等场景，并增加高毛利车型占比。同时，公司将加大对电机、电控、电池系统的研发投入，推动平台化、规模化开发，依托全国产能基地实现规模性降本和交付与盈利稳定性。</w:t>
      </w:r>
    </w:p>
    <w:p>
      <w:r>
        <w:rPr>
          <w:rFonts w:ascii="等线(中文正文)" w:hAnsi="等线(中文正文)" w:cs="等线(中文正文)" w:eastAsia="等线(中文正文)"/>
          <w:b w:val="false"/>
          <w:i w:val="false"/>
          <w:sz w:val="20"/>
        </w:rPr>
        <w:t/>
      </w:r>
    </w:p>
    <w:p>
      <w:pPr>
        <w:pStyle w:val="ab"/>
      </w:pPr>
      <w:r>
        <w:t>发言人1 问：公司在电池新技术，尤其是钠电池方面的布局情况如何？</w:t>
      </w:r>
    </w:p>
    <w:p>
      <w:r>
        <w:rPr>
          <w:rFonts w:ascii="等线(中文正文)" w:hAnsi="等线(中文正文)" w:cs="等线(中文正文)" w:eastAsia="等线(中文正文)"/>
          <w:b w:val="false"/>
          <w:i w:val="false"/>
          <w:sz w:val="20"/>
        </w:rPr>
        <w:t>发言人1 答：公司认为钠电池从中长期来看是一个重要的技术和方向，正在持续跟踪技术和产品适配，进行技术布局。然而，从目前来看，钠电池在新国标要求下，与铅酸电池在重量和成本上有差异化限制，导致在保证度电成本的前提下，铅酸电池更具性价比。此外，商业化适配方面，针对钠电池的电压平台、BMS充电器和整车结构需要改造成本，与现有产品不匹配，且钠电池回收体系现阶段也不完善。因此，公司目前主要保持钠电池材料、电芯及集成进展的研究，跟踪并做样品检测与产品化研究，等待成本、产业链标准化体系成熟后再快速响应市场，形成规模化供应能力。</w:t>
      </w:r>
    </w:p>
    <w:p>
      <w:r>
        <w:rPr>
          <w:rFonts w:ascii="等线(中文正文)" w:hAnsi="等线(中文正文)" w:cs="等线(中文正文)" w:eastAsia="等线(中文正文)"/>
          <w:b w:val="false"/>
          <w:i w:val="false"/>
          <w:sz w:val="20"/>
        </w:rPr>
        <w:t/>
      </w:r>
    </w:p>
    <w:p>
      <w:pPr>
        <w:pStyle w:val="ab"/>
      </w:pPr>
      <w:r>
        <w:t>发言人1 问：电动三轮车市场今年的发展趋势及公司销量目标是什么？</w:t>
      </w:r>
    </w:p>
    <w:p>
      <w:r>
        <w:rPr>
          <w:rFonts w:ascii="等线(中文正文)" w:hAnsi="等线(中文正文)" w:cs="等线(中文正文)" w:eastAsia="等线(中文正文)"/>
          <w:b w:val="false"/>
          <w:i w:val="false"/>
          <w:sz w:val="20"/>
        </w:rPr>
        <w:t>发言人1 答：电动三轮车市场今年预计会保持稳定增长态势，行业需求韧性十足，核心驱动来自下沉市场人群，如宝妈、家庭代步接送孩子等刚性需求。目前，公司三轮车型满产满销，盈利能力表现良好，支撑了部分收入和利润。新产能基地预计今年7-8月份投产，规划产能200万台，采用模块化生产降低物流成本、提升品质，并通过差异化品类抢占市场。伴随行业增长迅速、利润丰厚，吸引了大量玩家涌入该领域。</w:t>
      </w:r>
    </w:p>
    <w:p>
      <w:r>
        <w:rPr>
          <w:rFonts w:ascii="等线(中文正文)" w:hAnsi="等线(中文正文)" w:cs="等线(中文正文)" w:eastAsia="等线(中文正文)"/>
          <w:b w:val="false"/>
          <w:i w:val="false"/>
          <w:sz w:val="20"/>
        </w:rPr>
        <w:t/>
      </w:r>
    </w:p>
    <w:p>
      <w:pPr>
        <w:pStyle w:val="ab"/>
      </w:pPr>
      <w:r>
        <w:t>发言人1 问：目前判断行业发展趋势如何？</w:t>
      </w:r>
    </w:p>
    <w:p>
      <w:r>
        <w:rPr>
          <w:rFonts w:ascii="等线(中文正文)" w:hAnsi="等线(中文正文)" w:cs="等线(中文正文)" w:eastAsia="等线(中文正文)"/>
          <w:b w:val="false"/>
          <w:i w:val="false"/>
          <w:sz w:val="20"/>
        </w:rPr>
        <w:t>发言人1 答：目前判断，行业的高速增长态势将在未来2到3年内保持。同时，行业竞争将加速优化升级，行业门槛可能会因参与者增多而提升，产品迭代能力需加强以获得消费者青睐。</w:t>
      </w:r>
    </w:p>
    <w:p>
      <w:r>
        <w:rPr>
          <w:rFonts w:ascii="等线(中文正文)" w:hAnsi="等线(中文正文)" w:cs="等线(中文正文)" w:eastAsia="等线(中文正文)"/>
          <w:b w:val="false"/>
          <w:i w:val="false"/>
          <w:sz w:val="20"/>
        </w:rPr>
        <w:t/>
      </w:r>
    </w:p>
    <w:p>
      <w:pPr>
        <w:pStyle w:val="ab"/>
      </w:pPr>
      <w:r>
        <w:t>发言人1 问：在竞争格局方面有何看法？</w:t>
      </w:r>
    </w:p>
    <w:p>
      <w:r>
        <w:rPr>
          <w:rFonts w:ascii="等线(中文正文)" w:hAnsi="等线(中文正文)" w:cs="等线(中文正文)" w:eastAsia="等线(中文正文)"/>
          <w:b w:val="false"/>
          <w:i w:val="false"/>
          <w:sz w:val="20"/>
        </w:rPr>
        <w:t>发言人1 答：随着产能规模、供应链管理和全国网络口碑等方面的优势明显，公司在成本、品质和交付上已形成稳定的壁垒。行业竞争格局正发生改变，头部企业的市场份额有望扩大，并带动整个行业向规范化和高质量发展。</w:t>
      </w:r>
    </w:p>
    <w:p>
      <w:r>
        <w:rPr>
          <w:rFonts w:ascii="等线(中文正文)" w:hAnsi="等线(中文正文)" w:cs="等线(中文正文)" w:eastAsia="等线(中文正文)"/>
          <w:b w:val="false"/>
          <w:i w:val="false"/>
          <w:sz w:val="20"/>
        </w:rPr>
        <w:t/>
      </w:r>
    </w:p>
    <w:p>
      <w:pPr>
        <w:pStyle w:val="ab"/>
      </w:pPr>
      <w:r>
        <w:t>发言人1 问：行业出清现象是否明显？</w:t>
      </w:r>
    </w:p>
    <w:p>
      <w:r>
        <w:rPr>
          <w:rFonts w:ascii="等线(中文正文)" w:hAnsi="等线(中文正文)" w:cs="等线(中文正文)" w:eastAsia="等线(中文正文)"/>
          <w:b w:val="false"/>
          <w:i w:val="false"/>
          <w:sz w:val="20"/>
        </w:rPr>
        <w:t>发言人1 答：当前国内三轮车行业已进入出清阶段，尾部小品牌因新国标实施、成本提升、研发与供应链能力不足等原因，出现停产注销或被整合的情况。此外，销售渠道也出现大面积关停，渠道资源正向合规能力强、产品力和盈利性稳定的头部品牌集中。</w:t>
      </w:r>
    </w:p>
    <w:p>
      <w:r>
        <w:rPr>
          <w:rFonts w:ascii="等线(中文正文)" w:hAnsi="等线(中文正文)" w:cs="等线(中文正文)" w:eastAsia="等线(中文正文)"/>
          <w:b w:val="false"/>
          <w:i w:val="false"/>
          <w:sz w:val="20"/>
        </w:rPr>
        <w:t/>
      </w:r>
    </w:p>
    <w:p>
      <w:pPr>
        <w:pStyle w:val="ab"/>
      </w:pPr>
      <w:r>
        <w:t>发言人1 问：对于新增生产基地的产能释放节奏和影响有何展望？</w:t>
      </w:r>
    </w:p>
    <w:p>
      <w:r>
        <w:rPr>
          <w:rFonts w:ascii="等线(中文正文)" w:hAnsi="等线(中文正文)" w:cs="等线(中文正文)" w:eastAsia="等线(中文正文)"/>
          <w:b w:val="false"/>
          <w:i w:val="false"/>
          <w:sz w:val="20"/>
        </w:rPr>
        <w:t>发言人1 答：新增的两个生产基地主要是产能替代而非纯新增，尤其是丰县三轮车生产基地将在2026年第二季度至第三季度逐步建设完成并投产，其产能释放较快，初期会推高固定资产摊销等费用，但短期影响可控。兰州基地计划于2026年第四季度实现建设完成并释放产能，主要服务于一带一路中亚市场需求，对2023年业绩影响有限。虽然基地投产初期会增加运营及摊销成本，但通过新品拓展、供应链稳定等方式可以消化费用增长，长期来看，产能释放将促进企业业绩增长。</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2026-04-26T23:51:52Z</dcterms:created>
  <dc:creator>Apache POI</dc:creator>
</cp:coreProperties>
</file>