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乐鑫科技 260420_导读</w:t>
      </w:r>
    </w:p>
    <w:p>
      <w:pPr>
        <w:pStyle w:val="a0"/>
        <w:jc w:val="center"/>
      </w:pPr>
      <w:r>
        <w:t>2026年04月27日 07:50</w:t>
      </w:r>
    </w:p>
    <w:p>
      <w:pPr>
        <w:pStyle w:val="a7"/>
      </w:pPr>
      <w:r>
        <w:t>关键词</w:t>
      </w:r>
    </w:p>
    <w:p>
      <w:r>
        <w:rPr>
          <w:rFonts w:ascii="等线(中文正文)" w:hAnsi="等线(中文正文)" w:cs="等线(中文正文)" w:eastAsia="等线(中文正文)"/>
          <w:b w:val="false"/>
          <w:i w:val="false"/>
          <w:sz w:val="20"/>
        </w:rPr>
        <w:t xml:space="preserve">乐心科技 财报 收入 利润 毛利率 新产品 市场拓展 备货策略 开发者生态 AI S31芯片 现金流 存货 ASP 软件开发 嵌入式系统 平台能力 开发效率 可靠性 稳定性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乐心科技2026第一季度业绩展现稳健增长，财报表现亮眼，得益于经济态势稳定及成本上升背景下需求的稳健表现。公司特别强调了在AI驱动和功能驱动产品领域的创新升级，成功带动了收入和利润双增长，同时，毛利率持续改善显示出其高效的成本控制能力。面对原材料价格上涨，乐心科技采取了灵活的存货策略，通过提前备货有效应对市场波动，确保供应链稳定。在新产品周期中，公司加大了研发和销售力度，针对下游市场，尤其是教育市场和开发者生态的深入布局，展现了对未来技术发展的积极态度和前瞻性策略。此外，乐心科技重视投资者关系和市场策略调整，致力于构建更加紧密的市场合作关系，以促进长期稳定发展。整体而言，乐心科技展现了强大的市场竞争力和对未来机遇的敏锐把握。</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乐心科技2026年一季度财报说明会</w:t>
      </w:r>
    </w:p>
    <w:p>
      <w:r>
        <w:rPr>
          <w:rFonts w:ascii="等线(中文正文)" w:hAnsi="等线(中文正文)" w:cs="等线(中文正文)" w:eastAsia="等线(中文正文)"/>
          <w:b w:val="false"/>
          <w:i w:val="false"/>
          <w:sz w:val="20"/>
        </w:rPr>
        <w:t>在一季度财报说明会上，乐心科技宣布了收入和利润的双增长，尽管面临宏观经济不理想和成本上升的挑战。公司收入同比增长16%，达到6.48亿，净利润同比增长45%，达到1.36亿。乐心科技的下游客户分散于各行业，保持了良好的经营韧性。</w:t>
      </w:r>
    </w:p>
    <w:p>
      <w:r>
        <w:rPr>
          <w:rFonts w:ascii="等线(中文正文)" w:hAnsi="等线(中文正文)" w:cs="等线(中文正文)" w:eastAsia="等线(中文正文)"/>
          <w:b w:val="false"/>
          <w:i w:val="false"/>
          <w:sz w:val="20"/>
        </w:rPr>
        <w:t/>
      </w:r>
    </w:p>
    <w:p>
      <w:pPr>
        <w:pStyle w:val="ab"/>
        <w:numPr>
          <w:numId w:val="2"/>
        </w:numPr>
      </w:pPr>
      <w:r>
        <w:t>01:47 公司经营分析与未来展望</w:t>
      </w:r>
    </w:p>
    <w:p>
      <w:r>
        <w:rPr>
          <w:rFonts w:ascii="等线(中文正文)" w:hAnsi="等线(中文正文)" w:cs="等线(中文正文)" w:eastAsia="等线(中文正文)"/>
          <w:b w:val="false"/>
          <w:i w:val="false"/>
          <w:sz w:val="20"/>
        </w:rPr>
        <w:t>对话主要围绕公司经营状况展开，讨论了收入、费用、毛利及现金流等关键指标。尽管收入增长未达预期，但毛利率提升显著，得益于产品结构优化与客户多元化。公司正加大研发投入和市场拓展，新产品线逐步进入市场，预期将带来更显著的利润增长。现金流短期内受存货增加影响，但长期看库存消化风险低，公司更关注缺货风险。资本结构变化导致ROE短期摊薄，但盈利能力稳定。整体处于新产品周期，未来增长潜力大。</w:t>
      </w:r>
    </w:p>
    <w:p>
      <w:r>
        <w:rPr>
          <w:rFonts w:ascii="等线(中文正文)" w:hAnsi="等线(中文正文)" w:cs="等线(中文正文)" w:eastAsia="等线(中文正文)"/>
          <w:b w:val="false"/>
          <w:i w:val="false"/>
          <w:sz w:val="20"/>
        </w:rPr>
        <w:t/>
      </w:r>
    </w:p>
    <w:p>
      <w:pPr>
        <w:pStyle w:val="ab"/>
        <w:numPr>
          <w:numId w:val="3"/>
        </w:numPr>
      </w:pPr>
      <w:r>
        <w:t>07:30 公司业绩影响与AI驱动增长分析</w:t>
      </w:r>
    </w:p>
    <w:p>
      <w:r>
        <w:rPr>
          <w:rFonts w:ascii="等线(中文正文)" w:hAnsi="等线(中文正文)" w:cs="等线(中文正文)" w:eastAsia="等线(中文正文)"/>
          <w:b w:val="false"/>
          <w:i w:val="false"/>
          <w:sz w:val="20"/>
        </w:rPr>
        <w:t>讨论了成本波动对公司业绩的影响，强调了成本承保能力和差异化定价策略的重要性，以及多元化运营布局对冲单一行业风险的作用。分析了AI爆发和B2B开发者生态规模效应对公司成长的驱动作用，预测了可编程硬件对市场的影响。</w:t>
      </w:r>
    </w:p>
    <w:p>
      <w:r>
        <w:rPr>
          <w:rFonts w:ascii="等线(中文正文)" w:hAnsi="等线(中文正文)" w:cs="等线(中文正文)" w:eastAsia="等线(中文正文)"/>
          <w:b w:val="false"/>
          <w:i w:val="false"/>
          <w:sz w:val="20"/>
        </w:rPr>
        <w:t/>
      </w:r>
    </w:p>
    <w:p>
      <w:pPr>
        <w:pStyle w:val="ab"/>
        <w:numPr>
          <w:numId w:val="4"/>
        </w:numPr>
      </w:pPr>
      <w:r>
        <w:t>11:28 AI与嵌入式生态：降低门槛，提升平台价值</w:t>
      </w:r>
    </w:p>
    <w:p>
      <w:r>
        <w:rPr>
          <w:rFonts w:ascii="等线(中文正文)" w:hAnsi="等线(中文正文)" w:cs="等线(中文正文)" w:eastAsia="等线(中文正文)"/>
          <w:b w:val="false"/>
          <w:i w:val="false"/>
          <w:sz w:val="20"/>
        </w:rPr>
        <w:t>讨论了AI对嵌入式生态的影响，指出AI降低了应用开发门槛，使更多开发者能便捷参与，但对底层能力要求未减反增。强调平台承载能力和生态完善性对AI赋能效果至关重要，认为AI将提升平台价值，使已建立良好生态的平台先受益。同时介绍了样品申请流程及商务团队联系方式，便于用户获取样品进行开发。</w:t>
      </w:r>
    </w:p>
    <w:p>
      <w:r>
        <w:rPr>
          <w:rFonts w:ascii="等线(中文正文)" w:hAnsi="等线(中文正文)" w:cs="等线(中文正文)" w:eastAsia="等线(中文正文)"/>
          <w:b w:val="false"/>
          <w:i w:val="false"/>
          <w:sz w:val="20"/>
        </w:rPr>
        <w:t/>
      </w:r>
    </w:p>
    <w:p>
      <w:pPr>
        <w:pStyle w:val="ab"/>
        <w:numPr>
          <w:numId w:val="5"/>
        </w:numPr>
      </w:pPr>
      <w:r>
        <w:t>14:03 中日业务拓展与AI算力需求分析</w:t>
      </w:r>
    </w:p>
    <w:p>
      <w:r>
        <w:rPr>
          <w:rFonts w:ascii="等线(中文正文)" w:hAnsi="等线(中文正文)" w:cs="等线(中文正文)" w:eastAsia="等线(中文正文)"/>
          <w:b w:val="false"/>
          <w:i w:val="false"/>
          <w:sz w:val="20"/>
        </w:rPr>
        <w:t>对话讨论了中日在外交关系变化下对业务的影响，指出尽管日元贬值限制了增长，但直接对日销售同比增长40%。针对AI算力需求，提出分层AI模型，强调轻量化与特定场景优化，结合传感器技术强化设备能力，长远目标是逐步向更高算力演进，同时保持对功耗和成本的控制。</w:t>
      </w:r>
    </w:p>
    <w:p>
      <w:r>
        <w:rPr>
          <w:rFonts w:ascii="等线(中文正文)" w:hAnsi="等线(中文正文)" w:cs="等线(中文正文)" w:eastAsia="等线(中文正文)"/>
          <w:b w:val="false"/>
          <w:i w:val="false"/>
          <w:sz w:val="20"/>
        </w:rPr>
        <w:t/>
      </w:r>
    </w:p>
    <w:p>
      <w:pPr>
        <w:pStyle w:val="ab"/>
        <w:numPr>
          <w:numId w:val="6"/>
        </w:numPr>
      </w:pPr>
      <w:r>
        <w:t>17:27 平台化策略与桌面机器人市场拓展</w:t>
      </w:r>
    </w:p>
    <w:p>
      <w:r>
        <w:rPr>
          <w:rFonts w:ascii="等线(中文正文)" w:hAnsi="等线(中文正文)" w:cs="等线(中文正文)" w:eastAsia="等线(中文正文)"/>
          <w:b w:val="false"/>
          <w:i w:val="false"/>
          <w:sz w:val="20"/>
        </w:rPr>
        <w:t>讨论了平台化策略在降低AI+IoT开发门槛、激发创新应用中的核心价值，以及桌面机器人在中国市场的预售与定制化趋势，强调了公司作为技术平台提供者的定位，支持下游客户推动C端产品发展，避免直接竞争，加速市场进入。</w:t>
      </w:r>
    </w:p>
    <w:p>
      <w:r>
        <w:rPr>
          <w:rFonts w:ascii="等线(中文正文)" w:hAnsi="等线(中文正文)" w:cs="等线(中文正文)" w:eastAsia="等线(中文正文)"/>
          <w:b w:val="false"/>
          <w:i w:val="false"/>
          <w:sz w:val="20"/>
        </w:rPr>
        <w:t/>
      </w:r>
    </w:p>
    <w:p>
      <w:pPr>
        <w:pStyle w:val="ab"/>
        <w:numPr>
          <w:numId w:val="7"/>
        </w:numPr>
      </w:pPr>
      <w:r>
        <w:t>19:36 技术与产品升级讨论及投资者互动</w:t>
      </w:r>
    </w:p>
    <w:p>
      <w:r>
        <w:rPr>
          <w:rFonts w:ascii="等线(中文正文)" w:hAnsi="等线(中文正文)" w:cs="等线(中文正文)" w:eastAsia="等线(中文正文)"/>
          <w:b w:val="false"/>
          <w:i w:val="false"/>
          <w:sz w:val="20"/>
        </w:rPr>
        <w:t>对话围绕技术分享、产品升级、市场规划及投资者互动展开。参与者讨论了原材料库存比例、芯片升级路径、NPU规划、新增开发项目及生态IDS6.0版本用户情况。强调了技术与市场规划的重要性，同时解答了投资者关于产品和技术路线的疑问，展现了公司对技术创新和市场拓展的重视。</w:t>
      </w:r>
    </w:p>
    <w:p>
      <w:r>
        <w:rPr>
          <w:rFonts w:ascii="等线(中文正文)" w:hAnsi="等线(中文正文)" w:cs="等线(中文正文)" w:eastAsia="等线(中文正文)"/>
          <w:b w:val="false"/>
          <w:i w:val="false"/>
          <w:sz w:val="20"/>
        </w:rPr>
        <w:t/>
      </w:r>
    </w:p>
    <w:p>
      <w:pPr>
        <w:pStyle w:val="ab"/>
        <w:numPr>
          <w:numId w:val="8"/>
        </w:numPr>
      </w:pPr>
      <w:r>
        <w:t>23:22 AI芯片工艺与算力探讨及公司研发策略</w:t>
      </w:r>
    </w:p>
    <w:p>
      <w:r>
        <w:rPr>
          <w:rFonts w:ascii="等线(中文正文)" w:hAnsi="等线(中文正文)" w:cs="等线(中文正文)" w:eastAsia="等线(中文正文)"/>
          <w:b w:val="false"/>
          <w:i w:val="false"/>
          <w:sz w:val="20"/>
        </w:rPr>
        <w:t>讨论了AI芯片的12纳米制程工艺，未透露具体算力数据，强调产品定义需考虑目标客户，公司间非竞争关系，研发政策借鉴行业领先者，如瑞芯微和全志科技在AI算力创新上的成果。</w:t>
      </w:r>
    </w:p>
    <w:p>
      <w:r>
        <w:rPr>
          <w:rFonts w:ascii="等线(中文正文)" w:hAnsi="等线(中文正文)" w:cs="等线(中文正文)" w:eastAsia="等线(中文正文)"/>
          <w:b w:val="false"/>
          <w:i w:val="false"/>
          <w:sz w:val="20"/>
        </w:rPr>
        <w:t/>
      </w:r>
    </w:p>
    <w:p>
      <w:pPr>
        <w:pStyle w:val="ab"/>
        <w:numPr>
          <w:numId w:val="9"/>
        </w:numPr>
      </w:pPr>
      <w:r>
        <w:t>25:08 探讨公司物联网与AI大模型发展策略及投资方向</w:t>
      </w:r>
    </w:p>
    <w:p>
      <w:r>
        <w:rPr>
          <w:rFonts w:ascii="等线(中文正文)" w:hAnsi="等线(中文正文)" w:cs="等线(中文正文)" w:eastAsia="等线(中文正文)"/>
          <w:b w:val="false"/>
          <w:i w:val="false"/>
          <w:sz w:val="20"/>
        </w:rPr>
        <w:t>讨论了公司未来在物联网和AI大模型领域的可能性，包括家庭智能家电的语音交互革命，以及与云服务的结合。提及了隐私保护、断网情况下的设备功能，以及公司产品线的规划。同时，投资者表达了对公司前景的关注，讨论了投资策略，强调了差异化竞争的重要性，并提到了与另一家公司合作的可能性。最后，透露了AI芯片研发的进度，表示会在完成研发后进行发布。</w:t>
      </w:r>
    </w:p>
    <w:p>
      <w:r>
        <w:rPr>
          <w:rFonts w:ascii="等线(中文正文)" w:hAnsi="等线(中文正文)" w:cs="等线(中文正文)" w:eastAsia="等线(中文正文)"/>
          <w:b w:val="false"/>
          <w:i w:val="false"/>
          <w:sz w:val="20"/>
        </w:rPr>
        <w:t/>
      </w:r>
    </w:p>
    <w:p>
      <w:pPr>
        <w:pStyle w:val="ab"/>
        <w:numPr>
          <w:numId w:val="10"/>
        </w:numPr>
      </w:pPr>
      <w:r>
        <w:t>28:26 行业增速差异与宏观环境影响分析</w:t>
      </w:r>
    </w:p>
    <w:p>
      <w:r>
        <w:rPr>
          <w:rFonts w:ascii="等线(中文正文)" w:hAnsi="等线(中文正文)" w:cs="等线(中文正文)" w:eastAsia="等线(中文正文)"/>
          <w:b w:val="false"/>
          <w:i w:val="false"/>
          <w:sz w:val="20"/>
        </w:rPr>
        <w:t>讨论了在相同大环境下，不同规模芯片公司增速差异的原因。指出大厂增速保持高位，而面向中小开发者的企业增速可能放缓，这与AI技术应用、下游客户分散度及宏观环境波动有关。强调了行业整体受宏观影响较大，但具备较强抗风险能力，增速表现更为平稳，避免了大起大落的状态。</w:t>
      </w:r>
    </w:p>
    <w:p>
      <w:r>
        <w:rPr>
          <w:rFonts w:ascii="等线(中文正文)" w:hAnsi="等线(中文正文)" w:cs="等线(中文正文)" w:eastAsia="等线(中文正文)"/>
          <w:b w:val="false"/>
          <w:i w:val="false"/>
          <w:sz w:val="20"/>
        </w:rPr>
        <w:t/>
      </w:r>
    </w:p>
    <w:p>
      <w:pPr>
        <w:pStyle w:val="ab"/>
        <w:numPr>
          <w:numId w:val="11"/>
        </w:numPr>
      </w:pPr>
      <w:r>
        <w:t>30:22 投资者与公司互动及行业合作探讨</w:t>
      </w:r>
    </w:p>
    <w:p>
      <w:r>
        <w:rPr>
          <w:rFonts w:ascii="等线(中文正文)" w:hAnsi="等线(中文正文)" w:cs="等线(中文正文)" w:eastAsia="等线(中文正文)"/>
          <w:b w:val="false"/>
          <w:i w:val="false"/>
          <w:sz w:val="20"/>
        </w:rPr>
        <w:t>对话围绕投资者如何更直接地接触公司、职业教育领域的合作、教材编写与技术规划的关联，以及公司未来在芯片互联与下游客户需求拓展的讨论。投资者表达了参观公司总部的愿望，了解了职业教育合作的现状，但技术规划和未来规划未对外透露。此外，讨论了公司与传感器及IoT领域的合作，以及对芯片互联和下游客户需求的潜在拓展，但具体细节尚待官宣。</w:t>
      </w:r>
    </w:p>
    <w:p>
      <w:r>
        <w:rPr>
          <w:rFonts w:ascii="等线(中文正文)" w:hAnsi="等线(中文正文)" w:cs="等线(中文正文)" w:eastAsia="等线(中文正文)"/>
          <w:b w:val="false"/>
          <w:i w:val="false"/>
          <w:sz w:val="20"/>
        </w:rPr>
        <w:t/>
      </w:r>
    </w:p>
    <w:p>
      <w:pPr>
        <w:pStyle w:val="ab"/>
        <w:numPr>
          <w:numId w:val="12"/>
        </w:numPr>
      </w:pPr>
      <w:r>
        <w:t>34:34 AI宠物与简易编程组件市场增长分析</w:t>
      </w:r>
    </w:p>
    <w:p>
      <w:r>
        <w:rPr>
          <w:rFonts w:ascii="等线(中文正文)" w:hAnsi="等线(中文正文)" w:cs="等线(中文正文)" w:eastAsia="等线(中文正文)"/>
          <w:b w:val="false"/>
          <w:i w:val="false"/>
          <w:sz w:val="20"/>
        </w:rPr>
        <w:t>过去一年，AI宠物和简易编程组件市场表现火热，公司整体出货量超过三亿颗，其中AI相关部分虽未单独披露，但增长态势明显，ASP和毛利率均有所提升，表明AI驱动的品类需求强劲，市场增长潜力大。一季度能源和市场增长良好，可能受AI带动影响。</w:t>
      </w:r>
    </w:p>
    <w:p>
      <w:r>
        <w:rPr>
          <w:rFonts w:ascii="等线(中文正文)" w:hAnsi="等线(中文正文)" w:cs="等线(中文正文)" w:eastAsia="等线(中文正文)"/>
          <w:b w:val="false"/>
          <w:i w:val="false"/>
          <w:sz w:val="20"/>
        </w:rPr>
        <w:t/>
      </w:r>
    </w:p>
    <w:p>
      <w:pPr>
        <w:pStyle w:val="ab"/>
        <w:numPr>
          <w:numId w:val="13"/>
        </w:numPr>
      </w:pPr>
      <w:r>
        <w:t>35:42 公司产品及技术定位介绍</w:t>
      </w:r>
    </w:p>
    <w:p>
      <w:r>
        <w:rPr>
          <w:rFonts w:ascii="等线(中文正文)" w:hAnsi="等线(中文正文)" w:cs="等线(中文正文)" w:eastAsia="等线(中文正文)"/>
          <w:b w:val="false"/>
          <w:i w:val="false"/>
          <w:sz w:val="20"/>
        </w:rPr>
        <w:t>对话围绕公司产品和技术定位展开，主要介绍了公司作为技术提供者，在智能家居、工业领域如充电桩、光伏逆变器等市场中的芯片与软件供应角色。同时，明确了公司产品不涉及车规级芯片，而是专注于工业级芯片的应用，如智能后视镜等后装市场产品。对话还提及了与同类上市公司产品差异，并建议科普性问题可通过其他渠道获取，以节省与投资者交流的时间。</w:t>
      </w:r>
    </w:p>
    <w:p>
      <w:r>
        <w:rPr>
          <w:rFonts w:ascii="等线(中文正文)" w:hAnsi="等线(中文正文)" w:cs="等线(中文正文)" w:eastAsia="等线(中文正文)"/>
          <w:b w:val="false"/>
          <w:i w:val="false"/>
          <w:sz w:val="20"/>
        </w:rPr>
        <w:t/>
      </w:r>
    </w:p>
    <w:p>
      <w:pPr>
        <w:pStyle w:val="ab"/>
        <w:numPr>
          <w:numId w:val="14"/>
        </w:numPr>
      </w:pPr>
      <w:r>
        <w:t>38:17 存储涨价与AI应用对行业影响分析</w:t>
      </w:r>
    </w:p>
    <w:p>
      <w:r>
        <w:rPr>
          <w:rFonts w:ascii="等线(中文正文)" w:hAnsi="等线(中文正文)" w:cs="等线(中文正文)" w:eastAsia="等线(中文正文)"/>
          <w:b w:val="false"/>
          <w:i w:val="false"/>
          <w:sz w:val="20"/>
        </w:rPr>
        <w:t>讨论了存储业务涨价对下游需求影响有限，认为行业不景气源于整体成本上升，而非单一涨价。提及AI在智能控制交互领域的应用增长迅速，但具体客户项目保密。整体预期行业增速放缓，但增长趋势不变。</w:t>
      </w:r>
    </w:p>
    <w:p>
      <w:r>
        <w:rPr>
          <w:rFonts w:ascii="等线(中文正文)" w:hAnsi="等线(中文正文)" w:cs="等线(中文正文)" w:eastAsia="等线(中文正文)"/>
          <w:b w:val="false"/>
          <w:i w:val="false"/>
          <w:sz w:val="20"/>
        </w:rPr>
        <w:t/>
      </w:r>
    </w:p>
    <w:p>
      <w:pPr>
        <w:pStyle w:val="ab"/>
        <w:numPr>
          <w:numId w:val="15"/>
        </w:numPr>
      </w:pPr>
      <w:r>
        <w:t>40:27 探讨WiFi芯片与路由器产品规划</w:t>
      </w:r>
    </w:p>
    <w:p>
      <w:r>
        <w:rPr>
          <w:rFonts w:ascii="等线(中文正文)" w:hAnsi="等线(中文正文)" w:cs="等线(中文正文)" w:eastAsia="等线(中文正文)"/>
          <w:b w:val="false"/>
          <w:i w:val="false"/>
          <w:sz w:val="20"/>
        </w:rPr>
        <w:t>对话围绕WiFi芯片及未来市场应用展开，提及公司对连接技术的横向拓展策略，包括WiFi与蓝牙，但未明确具体芯片规划。同时讨论了方一期路由器的预计推出时间，目标为今年，具体取决于业务进展。</w:t>
      </w:r>
    </w:p>
    <w:p>
      <w:r>
        <w:rPr>
          <w:rFonts w:ascii="等线(中文正文)" w:hAnsi="等线(中文正文)" w:cs="等线(中文正文)" w:eastAsia="等线(中文正文)"/>
          <w:b w:val="false"/>
          <w:i w:val="false"/>
          <w:sz w:val="20"/>
        </w:rPr>
        <w:t/>
      </w:r>
    </w:p>
    <w:p>
      <w:pPr>
        <w:pStyle w:val="ab"/>
        <w:numPr>
          <w:numId w:val="16"/>
        </w:numPr>
      </w:pPr>
      <w:r>
        <w:t>41:59 公司生态发展战略与客户选择策略</w:t>
      </w:r>
    </w:p>
    <w:p>
      <w:r>
        <w:rPr>
          <w:rFonts w:ascii="等线(中文正文)" w:hAnsi="等线(中文正文)" w:cs="等线(中文正文)" w:eastAsia="等线(中文正文)"/>
          <w:b w:val="false"/>
          <w:i w:val="false"/>
          <w:sz w:val="20"/>
        </w:rPr>
        <w:t>对话围绕公司生态发展战略展开，讨论了如何通过降低开发门槛、引入AI技术以及优化产品线来吸引更多开发者，特别是纯软件工程师，以实现开发者数量的指数级增长。此外，还探讨了公司对客户的选择策略，强调了to b的定位，表明无论是中小企业还是大企业，只要能成为公司的客户，都是公司欢迎的对象。最后，提到了前十大客户占营收比例约为20.3%，体现了公司对大客户和中小客户的平衡发展策略。</w:t>
      </w:r>
    </w:p>
    <w:p>
      <w:r>
        <w:rPr>
          <w:rFonts w:ascii="等线(中文正文)" w:hAnsi="等线(中文正文)" w:cs="等线(中文正文)" w:eastAsia="等线(中文正文)"/>
          <w:b w:val="false"/>
          <w:i w:val="false"/>
          <w:sz w:val="20"/>
        </w:rPr>
        <w:t/>
      </w:r>
    </w:p>
    <w:p>
      <w:pPr>
        <w:pStyle w:val="ab"/>
        <w:numPr>
          <w:numId w:val="17"/>
        </w:numPr>
      </w:pPr>
      <w:r>
        <w:t>45:13 公司软硬件结合发展与股票解禁影响讨论</w:t>
      </w:r>
    </w:p>
    <w:p>
      <w:r>
        <w:rPr>
          <w:rFonts w:ascii="等线(中文正文)" w:hAnsi="等线(中文正文)" w:cs="等线(中文正文)" w:eastAsia="等线(中文正文)"/>
          <w:b w:val="false"/>
          <w:i w:val="false"/>
          <w:sz w:val="20"/>
        </w:rPr>
        <w:t>讨论了公司软硬件结合业务的发展，指出毛利率因软硬件整合而上升，但内部限制无法单独披露具体数据。提及24号股票解禁可能影响，分析认为长期看好公司的国有资金和稳定持有者不会迅速减少持股，强调其更倾向于长期投资而非短线炒作。</w:t>
      </w:r>
    </w:p>
    <w:p>
      <w:r>
        <w:rPr>
          <w:rFonts w:ascii="等线(中文正文)" w:hAnsi="等线(中文正文)" w:cs="等线(中文正文)" w:eastAsia="等线(中文正文)"/>
          <w:b w:val="false"/>
          <w:i w:val="false"/>
          <w:sz w:val="20"/>
        </w:rPr>
        <w:t/>
      </w:r>
    </w:p>
    <w:p>
      <w:pPr>
        <w:pStyle w:val="a7"/>
      </w:pPr>
      <w:r>
        <w:t>发言总结</w:t>
      </w:r>
    </w:p>
    <w:p>
      <w:pPr>
        <w:pStyle w:val="ab"/>
        <w:numPr>
          <w:numId w:val="18"/>
        </w:numPr>
      </w:pPr>
      <w:r>
        <w:t>发言人1</w:t>
      </w:r>
    </w:p>
    <w:p>
      <w:r>
        <w:rPr>
          <w:rFonts w:ascii="等线(中文正文)" w:hAnsi="等线(中文正文)" w:cs="等线(中文正文)" w:eastAsia="等线(中文正文)"/>
          <w:b w:val="false"/>
          <w:i w:val="false"/>
          <w:sz w:val="20"/>
        </w:rPr>
        <w:t>首先介绍了公司的产品线，涵盖了一代、二代产品以及正处于样品阶段的S31新产品。随后，面对市场挑战，如原材料价格上涨和战争导致的成本上升，他讨论了这些因素对公司业务的影响及采取的应对策略。此外，他分享了公司的财务表现，强调了第一季度收入、利润的双增长以及毛利率的改善，指出这些成就得益于公司广泛的应用覆盖和多元化客户结构。最后，他展望了公司未来，包括新产品发布计划，并回答了投资者关注的问题，展现了公司在不确定环境中的稳健表现和积极态度。</w:t>
      </w:r>
    </w:p>
    <w:p>
      <w:r>
        <w:rPr>
          <w:rFonts w:ascii="等线(中文正文)" w:hAnsi="等线(中文正文)" w:cs="等线(中文正文)" w:eastAsia="等线(中文正文)"/>
          <w:b w:val="false"/>
          <w:i w:val="false"/>
          <w:sz w:val="20"/>
        </w:rPr>
        <w:t/>
      </w:r>
    </w:p>
    <w:p>
      <w:pPr>
        <w:pStyle w:val="a7"/>
      </w:pPr>
      <w:r>
        <w:t>要点回顾</w:t>
      </w:r>
    </w:p>
    <w:p>
      <w:pPr>
        <w:pStyle w:val="ab"/>
      </w:pPr>
      <w:r>
        <w:t>S31何时能买到现货？现在处于什么阶段？</w:t>
      </w:r>
    </w:p>
    <w:p>
      <w:r>
        <w:rPr>
          <w:rFonts w:ascii="等线(中文正文)" w:hAnsi="等线(中文正文)" w:cs="等线(中文正文)" w:eastAsia="等线(中文正文)"/>
          <w:b w:val="false"/>
          <w:i w:val="false"/>
          <w:sz w:val="20"/>
        </w:rPr>
        <w:t>发言人1：S31目前还处于样品阶段，如果作为我们的客户，可以直接向商务部商务团队申请领取样品。</w:t>
      </w:r>
    </w:p>
    <w:p>
      <w:r>
        <w:rPr>
          <w:rFonts w:ascii="等线(中文正文)" w:hAnsi="等线(中文正文)" w:cs="等线(中文正文)" w:eastAsia="等线(中文正文)"/>
          <w:b w:val="false"/>
          <w:i w:val="false"/>
          <w:sz w:val="20"/>
        </w:rPr>
        <w:t/>
      </w:r>
    </w:p>
    <w:p>
      <w:pPr>
        <w:pStyle w:val="ab"/>
      </w:pPr>
      <w:r>
        <w:t>一季度乐心科技的整体业绩情况如何？</w:t>
      </w:r>
    </w:p>
    <w:p>
      <w:r>
        <w:rPr>
          <w:rFonts w:ascii="等线(中文正文)" w:hAnsi="等线(中文正文)" w:cs="等线(中文正文)" w:eastAsia="等线(中文正文)"/>
          <w:b w:val="false"/>
          <w:i w:val="false"/>
          <w:sz w:val="20"/>
        </w:rPr>
        <w:t>发言人1：在一季度，乐心科技整体经济保持稳健增长态势，尽管宏观经济环境不理想且叠加战争因素导致成本上升，但我们仍实现了收入和利润的双增长，维持了较好的经营韧性。具体表现为公司营业总收入6.48亿，同比增长16%；净利润1.36亿，同比增长45%。</w:t>
      </w:r>
    </w:p>
    <w:p>
      <w:r>
        <w:rPr>
          <w:rFonts w:ascii="等线(中文正文)" w:hAnsi="等线(中文正文)" w:cs="等线(中文正文)" w:eastAsia="等线(中文正文)"/>
          <w:b w:val="false"/>
          <w:i w:val="false"/>
          <w:sz w:val="20"/>
        </w:rPr>
        <w:t/>
      </w:r>
    </w:p>
    <w:p>
      <w:pPr>
        <w:pStyle w:val="ab"/>
      </w:pPr>
      <w:r>
        <w:t>毛利提升的主要原因是什么？</w:t>
      </w:r>
    </w:p>
    <w:p>
      <w:r>
        <w:rPr>
          <w:rFonts w:ascii="等线(中文正文)" w:hAnsi="等线(中文正文)" w:cs="等线(中文正文)" w:eastAsia="等线(中文正文)"/>
          <w:b w:val="false"/>
          <w:i w:val="false"/>
          <w:sz w:val="20"/>
        </w:rPr>
        <w:t>发言人1：毛利提升主要得益于行业趋势中风电等驱动向功能驱动的升级，这使得我们的产品差异化增强，客户接受度提高，从而在毛利率上得到了进一步提升。</w:t>
      </w:r>
    </w:p>
    <w:p>
      <w:r>
        <w:rPr>
          <w:rFonts w:ascii="等线(中文正文)" w:hAnsi="等线(中文正文)" w:cs="等线(中文正文)" w:eastAsia="等线(中文正文)"/>
          <w:b w:val="false"/>
          <w:i w:val="false"/>
          <w:sz w:val="20"/>
        </w:rPr>
        <w:t/>
      </w:r>
    </w:p>
    <w:p>
      <w:pPr>
        <w:pStyle w:val="ab"/>
      </w:pPr>
      <w:r>
        <w:t>费用端增长较快的原因以及新产品投入情况如何？</w:t>
      </w:r>
    </w:p>
    <w:p>
      <w:r>
        <w:rPr>
          <w:rFonts w:ascii="等线(中文正文)" w:hAnsi="等线(中文正文)" w:cs="等线(中文正文)" w:eastAsia="等线(中文正文)"/>
          <w:b w:val="false"/>
          <w:i w:val="false"/>
          <w:sz w:val="20"/>
        </w:rPr>
        <w:t>发言人1：费用端增长较快主要是由于新产品进入市场拓展阶段的前置性投入，如新品发布、量产准备等。今年公司主推新品组合，包括K21、PC以及P系列等产品线，这些新产品在市场上的推出将有助于扩大市场份额并满足不同客户群体的需求。</w:t>
      </w:r>
    </w:p>
    <w:p>
      <w:r>
        <w:rPr>
          <w:rFonts w:ascii="等线(中文正文)" w:hAnsi="等线(中文正文)" w:cs="等线(中文正文)" w:eastAsia="等线(中文正文)"/>
          <w:b w:val="false"/>
          <w:i w:val="false"/>
          <w:sz w:val="20"/>
        </w:rPr>
        <w:t/>
      </w:r>
    </w:p>
    <w:p>
      <w:pPr>
        <w:pStyle w:val="ab"/>
      </w:pPr>
      <w:r>
        <w:t>存货上升的原因及对未来的影响？</w:t>
      </w:r>
    </w:p>
    <w:p>
      <w:r>
        <w:rPr>
          <w:rFonts w:ascii="等线(中文正文)" w:hAnsi="等线(中文正文)" w:cs="等线(中文正文)" w:eastAsia="等线(中文正文)"/>
          <w:b w:val="false"/>
          <w:i w:val="false"/>
          <w:sz w:val="20"/>
        </w:rPr>
        <w:t>发言人1：存货上升是因为原材料价格上涨预期下，公司采取积极备货策略以锁定成本并确保交付能力。这种阶段性错配是主动经营决策的结果，后续若上游产能释放、价格稳定，存货影响将逐步减轻。同时，由于公司产品生命周期长，历年老产品仍可销售，因此不用担心备货风险，缺货风险才是更需关注的问题。</w:t>
      </w:r>
    </w:p>
    <w:p>
      <w:r>
        <w:rPr>
          <w:rFonts w:ascii="等线(中文正文)" w:hAnsi="等线(中文正文)" w:cs="等线(中文正文)" w:eastAsia="等线(中文正文)"/>
          <w:b w:val="false"/>
          <w:i w:val="false"/>
          <w:sz w:val="20"/>
        </w:rPr>
        <w:t/>
      </w:r>
    </w:p>
    <w:p>
      <w:pPr>
        <w:pStyle w:val="ab"/>
      </w:pPr>
      <w:r>
        <w:t>整体涨价和战争对公司业绩的影响有多大？</w:t>
      </w:r>
    </w:p>
    <w:p>
      <w:r>
        <w:rPr>
          <w:rFonts w:ascii="等线(中文正文)" w:hAnsi="等线(中文正文)" w:cs="等线(中文正文)" w:eastAsia="等线(中文正文)"/>
          <w:b w:val="false"/>
          <w:i w:val="false"/>
          <w:sz w:val="20"/>
        </w:rPr>
        <w:t>发言人1：面对成本波动，公司具备一定的成本承受能力，并不会盲目涨价，而是会策略性地调整价格，考虑库存状况、客户类型、应用场景、竞争市场和自身竞争格局等因素，进行差异化定价和优化，以保证客户关系和市场份额，有效消化成本压力。从当前情况来看，整体价格对公司实际影响相对客观，毛利率仍保持在一个不错的水平。</w:t>
      </w:r>
    </w:p>
    <w:p>
      <w:r>
        <w:rPr>
          <w:rFonts w:ascii="等线(中文正文)" w:hAnsi="等线(中文正文)" w:cs="等线(中文正文)" w:eastAsia="等线(中文正文)"/>
          <w:b w:val="false"/>
          <w:i w:val="false"/>
          <w:sz w:val="20"/>
        </w:rPr>
        <w:t/>
      </w:r>
    </w:p>
    <w:p>
      <w:pPr>
        <w:pStyle w:val="ab"/>
      </w:pPr>
      <w:r>
        <w:t>下游涨价是否会导致终端消费者需求降低，以及公司的增长放缓与宏观经济的关系如何？</w:t>
      </w:r>
    </w:p>
    <w:p>
      <w:r>
        <w:rPr>
          <w:rFonts w:ascii="等线(中文正文)" w:hAnsi="等线(中文正文)" w:cs="等线(中文正文)" w:eastAsia="等线(中文正文)"/>
          <w:b w:val="false"/>
          <w:i w:val="false"/>
          <w:sz w:val="20"/>
        </w:rPr>
        <w:t>发言人1：确实，下游价格上涨可能会影响终端消费者需求，导致整体增长呈现阶段性放缓。这个放缓与宏观经济有明显关联。但公司的不同下游业务状态各异，部分家具行业在增长，尤其是与房地产不直接相关的品类仍在增长；而与房地产密切相关的产业则相对疲软。公司的多元化运营布局可以有效对冲单一行业的影响，从而保证经营表现具有韧性、价格策略弹性。</w:t>
      </w:r>
    </w:p>
    <w:p>
      <w:r>
        <w:rPr>
          <w:rFonts w:ascii="等线(中文正文)" w:hAnsi="等线(中文正文)" w:cs="等线(中文正文)" w:eastAsia="等线(中文正文)"/>
          <w:b w:val="false"/>
          <w:i w:val="false"/>
          <w:sz w:val="20"/>
        </w:rPr>
        <w:t/>
      </w:r>
    </w:p>
    <w:p>
      <w:pPr>
        <w:pStyle w:val="ab"/>
      </w:pPr>
      <w:r>
        <w:t>公司管理层认为最核心的公司成长驱动力是什么？最大的评价和不确定性又是什么？</w:t>
      </w:r>
    </w:p>
    <w:p>
      <w:r>
        <w:rPr>
          <w:rFonts w:ascii="等线(中文正文)" w:hAnsi="等线(中文正文)" w:cs="等线(中文正文)" w:eastAsia="等线(中文正文)"/>
          <w:b w:val="false"/>
          <w:i w:val="false"/>
          <w:sz w:val="20"/>
        </w:rPr>
        <w:t>发言人1：公司成长的主要驱动力之一是AI的爆发式增长，尤其是AI加速指令集成的芯片如S3、P4和新发布的S31芯片，它们定义了边缘侧轻量级算力标准，将显著提升IOT设备处理能力，进而推动ASP（芯片单位出货量）的增长。另一个驱动力是B2B开发者生态的规模效应，目前已有超过20万个开源项目，预计开发者数量将持续增长，这将进一步增强规模效应。</w:t>
      </w:r>
    </w:p>
    <w:p>
      <w:r>
        <w:rPr>
          <w:rFonts w:ascii="等线(中文正文)" w:hAnsi="等线(中文正文)" w:cs="等线(中文正文)" w:eastAsia="等线(中文正文)"/>
          <w:b w:val="false"/>
          <w:i w:val="false"/>
          <w:sz w:val="20"/>
        </w:rPr>
        <w:t/>
      </w:r>
    </w:p>
    <w:p>
      <w:pPr>
        <w:pStyle w:val="ab"/>
      </w:pPr>
      <w:r>
        <w:t>对于122和131产品的情况如何？</w:t>
      </w:r>
    </w:p>
    <w:p>
      <w:r>
        <w:rPr>
          <w:rFonts w:ascii="等线(中文正文)" w:hAnsi="等线(中文正文)" w:cs="等线(中文正文)" w:eastAsia="等线(中文正文)"/>
          <w:b w:val="false"/>
          <w:i w:val="false"/>
          <w:sz w:val="20"/>
        </w:rPr>
        <w:t>发言人1：目前这两款产品处于样品阶段，客户可联系商务团队申请样品，以便提前进行开发。一旦量产，商务团队会及时通知。</w:t>
      </w:r>
    </w:p>
    <w:p>
      <w:r>
        <w:rPr>
          <w:rFonts w:ascii="等线(中文正文)" w:hAnsi="等线(中文正文)" w:cs="等线(中文正文)" w:eastAsia="等线(中文正文)"/>
          <w:b w:val="false"/>
          <w:i w:val="false"/>
          <w:sz w:val="20"/>
        </w:rPr>
        <w:t/>
      </w:r>
    </w:p>
    <w:p>
      <w:pPr>
        <w:pStyle w:val="ab"/>
      </w:pPr>
      <w:r>
        <w:t>AI会对嵌入式生态的影响是放大头部平台优势还是抹平竞争差异？</w:t>
      </w:r>
    </w:p>
    <w:p>
      <w:r>
        <w:rPr>
          <w:rFonts w:ascii="等线(中文正文)" w:hAnsi="等线(中文正文)" w:cs="等线(中文正文)" w:eastAsia="等线(中文正文)"/>
          <w:b w:val="false"/>
          <w:i w:val="false"/>
          <w:sz w:val="20"/>
        </w:rPr>
        <w:t>发言人1：AI显著降低了应用开发门槛，使得更多开发者能够方便地进行开发，行业约束条件转向平台承载能力的供给。虽然AI改变了开发效率，但它并不会改变对嵌入式系统的可靠性、稳定性、功耗和实时性等底层能力的要求，反而会因开发效率提升而对底层平台提出更高要求。此外，AI依赖高质量的数据训练，生态的完善将增强AI赋能效果，形成正向循环，因此AI会进一步提升平台价值，受益于已建立良好生态的企业。</w:t>
      </w:r>
    </w:p>
    <w:p>
      <w:r>
        <w:rPr>
          <w:rFonts w:ascii="等线(中文正文)" w:hAnsi="等线(中文正文)" w:cs="等线(中文正文)" w:eastAsia="等线(中文正文)"/>
          <w:b w:val="false"/>
          <w:i w:val="false"/>
          <w:sz w:val="20"/>
        </w:rPr>
        <w:t/>
      </w:r>
    </w:p>
    <w:p>
      <w:pPr>
        <w:pStyle w:val="ab"/>
      </w:pPr>
      <w:r>
        <w:t>中日外交关系变化对公司日本业务的影响如何？通调用量增长与端测AI经济需求的关系是什么？</w:t>
      </w:r>
    </w:p>
    <w:p>
      <w:r>
        <w:rPr>
          <w:rFonts w:ascii="等线(中文正文)" w:hAnsi="等线(中文正文)" w:cs="等线(中文正文)" w:eastAsia="等线(中文正文)"/>
          <w:b w:val="false"/>
          <w:i w:val="false"/>
          <w:sz w:val="20"/>
        </w:rPr>
        <w:t>发言人1：目前中日外交关系变化对公司日本业务尚未产生实质影响。尽管日元汇率下跌影响了货币购买力，但公司在日本的业务仍在增长，且直接向日本销售的数据同比增长约40%。初步的调用量快速增长反映了强度提升，不等于短期策略需求的减速增长。随着充分调动量上升，云端成本和时间压力增加，会推动算力向端侧迁移，但这种迁移更多表现为轻量级模型和特定场景优化，交互方式和功能逻辑会被AI重构，呈现渐进式发展。分层AI需求的增长将呈现分层结构，而非全面高算力需求，公司在产品线上会逐步增加新的内容并提升轻量级算力。</w:t>
      </w:r>
    </w:p>
    <w:p>
      <w:r>
        <w:rPr>
          <w:rFonts w:ascii="等线(中文正文)" w:hAnsi="等线(中文正文)" w:cs="等线(中文正文)" w:eastAsia="等线(中文正文)"/>
          <w:b w:val="false"/>
          <w:i w:val="false"/>
          <w:sz w:val="20"/>
        </w:rPr>
        <w:t/>
      </w:r>
    </w:p>
    <w:p>
      <w:pPr>
        <w:pStyle w:val="ab"/>
      </w:pPr>
      <w:r>
        <w:t>如何看待公司产品算力与市场需求的匹配问题？</w:t>
      </w:r>
    </w:p>
    <w:p>
      <w:r>
        <w:rPr>
          <w:rFonts w:ascii="等线(中文正文)" w:hAnsi="等线(中文正文)" w:cs="等线(中文正文)" w:eastAsia="等线(中文正文)"/>
          <w:b w:val="false"/>
          <w:i w:val="false"/>
          <w:sz w:val="20"/>
        </w:rPr>
        <w:t>发言人1：产品经理应关注目标客户的需求，而非仅凭自身决定追求高算力。不同场景下的IOT设备需要长时间运行、低功耗和对成本敏感，因此在现有架构下提升单位功耗下的有效算力是更为关键的目标。公司会持续优化产品，确保符合市场需求。</w:t>
      </w:r>
    </w:p>
    <w:p>
      <w:r>
        <w:rPr>
          <w:rFonts w:ascii="等线(中文正文)" w:hAnsi="等线(中文正文)" w:cs="等线(中文正文)" w:eastAsia="等线(中文正文)"/>
          <w:b w:val="false"/>
          <w:i w:val="false"/>
          <w:sz w:val="20"/>
        </w:rPr>
        <w:t/>
      </w:r>
    </w:p>
    <w:p>
      <w:pPr>
        <w:pStyle w:val="ab"/>
      </w:pPr>
      <w:r>
        <w:t>公司二周年计划中，关于芯片累计突破达到20亿颗的目标是否仍然保持不变？</w:t>
      </w:r>
    </w:p>
    <w:p>
      <w:r>
        <w:rPr>
          <w:rFonts w:ascii="等线(中文正文)" w:hAnsi="等线(中文正文)" w:cs="等线(中文正文)" w:eastAsia="等线(中文正文)"/>
          <w:b w:val="false"/>
          <w:i w:val="false"/>
          <w:sz w:val="20"/>
        </w:rPr>
        <w:t>发言人1：是的，我们继续保持这个目标不变。</w:t>
      </w:r>
    </w:p>
    <w:p>
      <w:r>
        <w:rPr>
          <w:rFonts w:ascii="等线(中文正文)" w:hAnsi="等线(中文正文)" w:cs="等线(中文正文)" w:eastAsia="等线(中文正文)"/>
          <w:b w:val="false"/>
          <w:i w:val="false"/>
          <w:sz w:val="20"/>
        </w:rPr>
        <w:t/>
      </w:r>
    </w:p>
    <w:p>
      <w:pPr>
        <w:pStyle w:val="ab"/>
      </w:pPr>
      <w:r>
        <w:t>公司如何看待当前的产品定位和市场布局？</w:t>
      </w:r>
    </w:p>
    <w:p>
      <w:r>
        <w:rPr>
          <w:rFonts w:ascii="等线(中文正文)" w:hAnsi="等线(中文正文)" w:cs="等线(中文正文)" w:eastAsia="等线(中文正文)"/>
          <w:b w:val="false"/>
          <w:i w:val="false"/>
          <w:sz w:val="20"/>
        </w:rPr>
        <w:t>发言人1：我们公司以平台能力和技术提供者的核心定位不变，通过支持下游客户来推广面向C端市场的定位卡产品。同时，我们注意到市场需求和反馈，正考虑产品的定制化需求，如颜色、软件加载等，并欢迎有硬件开发需求但软件能力有限的客户定制我们的硬件产品，快速进入市场。</w:t>
      </w:r>
    </w:p>
    <w:p>
      <w:r>
        <w:rPr>
          <w:rFonts w:ascii="等线(中文正文)" w:hAnsi="等线(中文正文)" w:cs="等线(中文正文)" w:eastAsia="等线(中文正文)"/>
          <w:b w:val="false"/>
          <w:i w:val="false"/>
          <w:sz w:val="20"/>
        </w:rPr>
        <w:t/>
      </w:r>
    </w:p>
    <w:p>
      <w:pPr>
        <w:pStyle w:val="ab"/>
      </w:pPr>
      <w:r>
        <w:t>原材料和库存商品的比例大概是多少？是否有计划针对技术分享做一些内容上的调整？</w:t>
      </w:r>
    </w:p>
    <w:p>
      <w:r>
        <w:rPr>
          <w:rFonts w:ascii="等线(中文正文)" w:hAnsi="等线(中文正文)" w:cs="等线(中文正文)" w:eastAsia="等线(中文正文)"/>
          <w:b w:val="false"/>
          <w:i w:val="false"/>
          <w:sz w:val="20"/>
        </w:rPr>
        <w:t>发言人1：原材料占了一半的比例，主要是原材料成本的增加。热心伙伴平台主要面向投资者，不适合进行线下技术分享，若需技术交流可考虑其他方式。</w:t>
      </w:r>
    </w:p>
    <w:p>
      <w:r>
        <w:rPr>
          <w:rFonts w:ascii="等线(中文正文)" w:hAnsi="等线(中文正文)" w:cs="等线(中文正文)" w:eastAsia="等线(中文正文)"/>
          <w:b w:val="false"/>
          <w:i w:val="false"/>
          <w:sz w:val="20"/>
        </w:rPr>
        <w:t/>
      </w:r>
    </w:p>
    <w:p>
      <w:pPr>
        <w:pStyle w:val="ab"/>
      </w:pPr>
      <w:r>
        <w:t>在现有产品基础上，是否会针对28纳米或更先进的制程进行升级？</w:t>
      </w:r>
    </w:p>
    <w:p>
      <w:r>
        <w:rPr>
          <w:rFonts w:ascii="等线(中文正文)" w:hAnsi="等线(中文正文)" w:cs="等线(中文正文)" w:eastAsia="等线(中文正文)"/>
          <w:b w:val="false"/>
          <w:i w:val="false"/>
          <w:sz w:val="20"/>
        </w:rPr>
        <w:t>发言人1：对于未来的制程规划，我们尚未确定是否一定涉及28纳米，实际规划可能在22纳米或12纳米制程，具体取决于成本和价格因素。</w:t>
      </w:r>
    </w:p>
    <w:p>
      <w:r>
        <w:rPr>
          <w:rFonts w:ascii="等线(中文正文)" w:hAnsi="等线(中文正文)" w:cs="等线(中文正文)" w:eastAsia="等线(中文正文)"/>
          <w:b w:val="false"/>
          <w:i w:val="false"/>
          <w:sz w:val="20"/>
        </w:rPr>
        <w:t/>
      </w:r>
    </w:p>
    <w:p>
      <w:pPr>
        <w:pStyle w:val="ab"/>
      </w:pPr>
      <w:r>
        <w:t>公司是否可以透露今年新芯片产品是否会配备独立的物理NPU？</w:t>
      </w:r>
    </w:p>
    <w:p>
      <w:r>
        <w:rPr>
          <w:rFonts w:ascii="等线(中文正文)" w:hAnsi="等线(中文正文)" w:cs="等线(中文正文)" w:eastAsia="等线(中文正文)"/>
          <w:b w:val="false"/>
          <w:i w:val="false"/>
          <w:sz w:val="20"/>
        </w:rPr>
        <w:t>发言人1：新芯片产品会有核心的NPU，但具体是哪款芯片尚未公布，目前招聘计划中有相关岗位规划。</w:t>
      </w:r>
    </w:p>
    <w:p>
      <w:r>
        <w:rPr>
          <w:rFonts w:ascii="等线(中文正文)" w:hAnsi="等线(中文正文)" w:cs="等线(中文正文)" w:eastAsia="等线(中文正文)"/>
          <w:b w:val="false"/>
          <w:i w:val="false"/>
          <w:sz w:val="20"/>
        </w:rPr>
        <w:t/>
      </w:r>
    </w:p>
    <w:p>
      <w:pPr>
        <w:pStyle w:val="ab"/>
      </w:pPr>
      <w:r>
        <w:t>公司一季度是否有新的研发项目加入？</w:t>
      </w:r>
    </w:p>
    <w:p>
      <w:r>
        <w:rPr>
          <w:rFonts w:ascii="等线(中文正文)" w:hAnsi="等线(中文正文)" w:cs="等线(中文正文)" w:eastAsia="等线(中文正文)"/>
          <w:b w:val="false"/>
          <w:i w:val="false"/>
          <w:sz w:val="20"/>
        </w:rPr>
        <w:t>发言人1：公司一直在有新客户加入并进行研发，新增项目和功能的开发持续进行中。</w:t>
      </w:r>
    </w:p>
    <w:p>
      <w:r>
        <w:rPr>
          <w:rFonts w:ascii="等线(中文正文)" w:hAnsi="等线(中文正文)" w:cs="等线(中文正文)" w:eastAsia="等线(中文正文)"/>
          <w:b w:val="false"/>
          <w:i w:val="false"/>
          <w:sz w:val="20"/>
        </w:rPr>
        <w:t/>
      </w:r>
    </w:p>
    <w:p>
      <w:pPr>
        <w:pStyle w:val="ab"/>
      </w:pPr>
      <w:r>
        <w:t>关于生态IDS 6.0版本，目前用户量如何？</w:t>
      </w:r>
    </w:p>
    <w:p>
      <w:r>
        <w:rPr>
          <w:rFonts w:ascii="等线(中文正文)" w:hAnsi="等线(中文正文)" w:cs="等线(中文正文)" w:eastAsia="等线(中文正文)"/>
          <w:b w:val="false"/>
          <w:i w:val="false"/>
          <w:sz w:val="20"/>
        </w:rPr>
        <w:t>发言人1：生态IDS 6.0版本是开放下载的，用户量暂时没有具体数据。</w:t>
      </w:r>
    </w:p>
    <w:p>
      <w:r>
        <w:rPr>
          <w:rFonts w:ascii="等线(中文正文)" w:hAnsi="等线(中文正文)" w:cs="等线(中文正文)" w:eastAsia="等线(中文正文)"/>
          <w:b w:val="false"/>
          <w:i w:val="false"/>
          <w:sz w:val="20"/>
        </w:rPr>
        <w:t/>
      </w:r>
    </w:p>
    <w:p>
      <w:pPr>
        <w:pStyle w:val="ab"/>
      </w:pPr>
      <w:r>
        <w:t>定向增发的AISOC芯片采用何种工艺制成，以及大致算力水平？</w:t>
      </w:r>
    </w:p>
    <w:p>
      <w:r>
        <w:rPr>
          <w:rFonts w:ascii="等线(中文正文)" w:hAnsi="等线(中文正文)" w:cs="等线(中文正文)" w:eastAsia="等线(中文正文)"/>
          <w:b w:val="false"/>
          <w:i w:val="false"/>
          <w:sz w:val="20"/>
        </w:rPr>
        <w:t>发言人1：定向增发的AISOC芯片采用12纳米制程工艺，但具体的算力数值要等到研发步骤完成后才能提供。</w:t>
      </w:r>
    </w:p>
    <w:p>
      <w:r>
        <w:rPr>
          <w:rFonts w:ascii="等线(中文正文)" w:hAnsi="等线(中文正文)" w:cs="等线(中文正文)" w:eastAsia="等线(中文正文)"/>
          <w:b w:val="false"/>
          <w:i w:val="false"/>
          <w:sz w:val="20"/>
        </w:rPr>
        <w:t/>
      </w:r>
    </w:p>
    <w:p>
      <w:pPr>
        <w:pStyle w:val="ab"/>
      </w:pPr>
      <w:r>
        <w:t>公司研发政策是否借鉴了其他领域的先进技术？</w:t>
      </w:r>
    </w:p>
    <w:p>
      <w:r>
        <w:rPr>
          <w:rFonts w:ascii="等线(中文正文)" w:hAnsi="等线(中文正文)" w:cs="等线(中文正文)" w:eastAsia="等线(中文正文)"/>
          <w:b w:val="false"/>
          <w:i w:val="false"/>
          <w:sz w:val="20"/>
        </w:rPr>
        <w:t>发言人1：公司各个部门的数据隔离相对较好，研发策略并不对外详细透露，且不同公司在AI技术上的目标客户定位不同，因此无法直接比较。</w:t>
      </w:r>
    </w:p>
    <w:p>
      <w:r>
        <w:rPr>
          <w:rFonts w:ascii="等线(中文正文)" w:hAnsi="等线(中文正文)" w:cs="等线(中文正文)" w:eastAsia="等线(中文正文)"/>
          <w:b w:val="false"/>
          <w:i w:val="false"/>
          <w:sz w:val="20"/>
        </w:rPr>
        <w:t/>
      </w:r>
    </w:p>
    <w:p>
      <w:pPr>
        <w:pStyle w:val="ab"/>
      </w:pPr>
      <w:r>
        <w:t>公司在物联网领域是否有能力开发类似智能家电的大模型，实现语音交互控制家电的功能？</w:t>
      </w:r>
    </w:p>
    <w:p>
      <w:r>
        <w:rPr>
          <w:rFonts w:ascii="等线(中文正文)" w:hAnsi="等线(中文正文)" w:cs="等线(中文正文)" w:eastAsia="等线(中文正文)"/>
          <w:b w:val="false"/>
          <w:i w:val="false"/>
          <w:sz w:val="20"/>
        </w:rPr>
        <w:t>发言人1：目前公司的产品线还未能完全实现这一效果，但后续的产品线确实有此类规划，未来将努力满足用户在家庭场景下的自由语音交互需求。</w:t>
      </w:r>
    </w:p>
    <w:p>
      <w:r>
        <w:rPr>
          <w:rFonts w:ascii="等线(中文正文)" w:hAnsi="等线(中文正文)" w:cs="等线(中文正文)" w:eastAsia="等线(中文正文)"/>
          <w:b w:val="false"/>
          <w:i w:val="false"/>
          <w:sz w:val="20"/>
        </w:rPr>
        <w:t/>
      </w:r>
    </w:p>
    <w:p>
      <w:pPr>
        <w:pStyle w:val="ab"/>
      </w:pPr>
      <w:r>
        <w:t>在同样的大环境下，为什么乐清水处理连接芯片公司的增速会低于像to b端的芯片公司？</w:t>
      </w:r>
    </w:p>
    <w:p>
      <w:r>
        <w:rPr>
          <w:rFonts w:ascii="等线(中文正文)" w:hAnsi="等线(中文正文)" w:cs="等线(中文正文)" w:eastAsia="等线(中文正文)"/>
          <w:b w:val="false"/>
          <w:i w:val="false"/>
          <w:sz w:val="20"/>
        </w:rPr>
        <w:t>发言人1：这主要是因为乐清水所处行业受宏观影响更大，目前并非所有行业都启动了AI功能，只是少量行业开始加入边缘AI功能。由于公司产品应用于多个行业且覆盖了传统连接市场和AI加LT市场，因此增长更接近宏观情况，但抗风险能力更强。</w:t>
      </w:r>
    </w:p>
    <w:p>
      <w:r>
        <w:rPr>
          <w:rFonts w:ascii="等线(中文正文)" w:hAnsi="等线(中文正文)" w:cs="等线(中文正文)" w:eastAsia="等线(中文正文)"/>
          <w:b w:val="false"/>
          <w:i w:val="false"/>
          <w:sz w:val="20"/>
        </w:rPr>
        <w:t/>
      </w:r>
    </w:p>
    <w:p>
      <w:pPr>
        <w:pStyle w:val="ab"/>
      </w:pPr>
      <w:r>
        <w:t>投资者如何与公司进行直接接触，比如参观总部或参与股东大会？</w:t>
      </w:r>
    </w:p>
    <w:p>
      <w:r>
        <w:rPr>
          <w:rFonts w:ascii="等线(中文正文)" w:hAnsi="等线(中文正文)" w:cs="等线(中文正文)" w:eastAsia="等线(中文正文)"/>
          <w:b w:val="false"/>
          <w:i w:val="false"/>
          <w:sz w:val="20"/>
        </w:rPr>
        <w:t>发言人1：投资者可以通过报名参加公司的股东大会来实现这一目的，即使只持有少量股份也可以参与。在股东大会上，会有CEO、财务总监等公司高层在场，可以实地了解公司情况。对于机构投资者，可以通过类似方式联系并安排调研公司。</w:t>
      </w:r>
    </w:p>
    <w:p>
      <w:r>
        <w:rPr>
          <w:rFonts w:ascii="等线(中文正文)" w:hAnsi="等线(中文正文)" w:cs="等线(中文正文)" w:eastAsia="等线(中文正文)"/>
          <w:b w:val="false"/>
          <w:i w:val="false"/>
          <w:sz w:val="20"/>
        </w:rPr>
        <w:t/>
      </w:r>
    </w:p>
    <w:p>
      <w:pPr>
        <w:pStyle w:val="ab"/>
      </w:pPr>
      <w:r>
        <w:t>公司在职业教育领域是否有相关策略或产品形象？</w:t>
      </w:r>
    </w:p>
    <w:p>
      <w:r>
        <w:rPr>
          <w:rFonts w:ascii="等线(中文正文)" w:hAnsi="等线(中文正文)" w:cs="等线(中文正文)" w:eastAsia="等线(中文正文)"/>
          <w:b w:val="false"/>
          <w:i w:val="false"/>
          <w:sz w:val="20"/>
        </w:rPr>
        <w:t>发言人1：虽然公司没有专门针对教育行业的产品定义，但有很多从事教育产业的客户和校企合作项目，包括大学生互联网竞赛、高校老师编写课程等，并提供开发版支持。教育行业客户与其他客户性质相同，公司产品可用于教育产业，属于B2B模式。</w:t>
      </w:r>
    </w:p>
    <w:p>
      <w:r>
        <w:rPr>
          <w:rFonts w:ascii="等线(中文正文)" w:hAnsi="等线(中文正文)" w:cs="等线(中文正文)" w:eastAsia="等线(中文正文)"/>
          <w:b w:val="false"/>
          <w:i w:val="false"/>
          <w:sz w:val="20"/>
        </w:rPr>
        <w:t/>
      </w:r>
    </w:p>
    <w:p>
      <w:pPr>
        <w:pStyle w:val="ab"/>
      </w:pPr>
      <w:r>
        <w:t>公司对于过去一年来智能家居、简易编程组件等市场的出货规模及市场状态如何？</w:t>
      </w:r>
    </w:p>
    <w:p>
      <w:r>
        <w:rPr>
          <w:rFonts w:ascii="等线(中文正文)" w:hAnsi="等线(中文正文)" w:cs="等线(中文正文)" w:eastAsia="等线(中文正文)"/>
          <w:b w:val="false"/>
          <w:i w:val="false"/>
          <w:sz w:val="20"/>
        </w:rPr>
        <w:t>发言人1：过去一年这些市场的整体出货量超过三亿颗，其中AI部分虽未单独披露，但增长态势良好，功能驱动品类的销售在稳步上升，毛利率也有所改善，主要以AI驱动为主。目前市场状态处于不错的增长期。</w:t>
      </w:r>
    </w:p>
    <w:p>
      <w:r>
        <w:rPr>
          <w:rFonts w:ascii="等线(中文正文)" w:hAnsi="等线(中文正文)" w:cs="等线(中文正文)" w:eastAsia="等线(中文正文)"/>
          <w:b w:val="false"/>
          <w:i w:val="false"/>
          <w:sz w:val="20"/>
        </w:rPr>
        <w:t/>
      </w:r>
    </w:p>
    <w:p>
      <w:pPr>
        <w:pStyle w:val="ab"/>
      </w:pPr>
      <w:r>
        <w:t>公司是否有针对智能家居、工业物联网等领域的产品，并对未来是否有拓展计划？</w:t>
      </w:r>
    </w:p>
    <w:p>
      <w:r>
        <w:rPr>
          <w:rFonts w:ascii="等线(中文正文)" w:hAnsi="等线(中文正文)" w:cs="等线(中文正文)" w:eastAsia="等线(中文正文)"/>
          <w:b w:val="false"/>
          <w:i w:val="false"/>
          <w:sz w:val="20"/>
        </w:rPr>
        <w:t>发言人1：公司产品确实可应用于智能家居、工业物联网等领域，如充电桩、光伏逆变器、储能系统、智慧大棚等，并提供底层核心技术和解决方案。至于未来拓展计划，虽然没有明确说明，但已与一些元器件厂商如博士进行传感器层面的合作，预计会有进一步的商务合作。</w:t>
      </w:r>
    </w:p>
    <w:p>
      <w:r>
        <w:rPr>
          <w:rFonts w:ascii="等线(中文正文)" w:hAnsi="等线(中文正文)" w:cs="等线(中文正文)" w:eastAsia="等线(中文正文)"/>
          <w:b w:val="false"/>
          <w:i w:val="false"/>
          <w:sz w:val="20"/>
        </w:rPr>
        <w:t/>
      </w:r>
    </w:p>
    <w:p>
      <w:pPr>
        <w:pStyle w:val="ab"/>
      </w:pPr>
      <w:r>
        <w:t>咱们公司的业务会不会受到存储行业涨价的影响，以及整个行业的需求和未来业务是否会被影响？</w:t>
      </w:r>
    </w:p>
    <w:p>
      <w:r>
        <w:rPr>
          <w:rFonts w:ascii="等线(中文正文)" w:hAnsi="等线(中文正文)" w:cs="等线(中文正文)" w:eastAsia="等线(中文正文)"/>
          <w:b w:val="false"/>
          <w:i w:val="false"/>
          <w:sz w:val="20"/>
        </w:rPr>
        <w:t>发言人1：推出涨价对下游需求的影响应该不会特别大，因为我们的产品价值量相对较低。虽然有涨价现象，但由于我们的产品单价不高，下游客户能够接受。行业不景气主要在于其他各类成本的影响，如战争导致石油价格上涨等，这是整体普涨的成本影响。对我们公司而言，增速可能会放缓，但仍然保持增长预期。</w:t>
      </w:r>
    </w:p>
    <w:p>
      <w:r>
        <w:rPr>
          <w:rFonts w:ascii="等线(中文正文)" w:hAnsi="等线(中文正文)" w:cs="等线(中文正文)" w:eastAsia="等线(中文正文)"/>
          <w:b w:val="false"/>
          <w:i w:val="false"/>
          <w:sz w:val="20"/>
        </w:rPr>
        <w:t/>
      </w:r>
    </w:p>
    <w:p>
      <w:pPr>
        <w:pStyle w:val="ab"/>
      </w:pPr>
      <w:r>
        <w:t>目前AI装饰的发展情况如何？与我们公司业务中的应用场景有哪些趋势？</w:t>
      </w:r>
    </w:p>
    <w:p>
      <w:r>
        <w:rPr>
          <w:rFonts w:ascii="等线(中文正文)" w:hAnsi="等线(中文正文)" w:cs="等线(中文正文)" w:eastAsia="等线(中文正文)"/>
          <w:b w:val="false"/>
          <w:i w:val="false"/>
          <w:sz w:val="20"/>
        </w:rPr>
        <w:t>发言人1：目前AI应用发展迅速，我们公司在深圳的创业群体中也看到用我们的小字做AI控制交互层面的场景。由于涉及客户保密信息，不便透露具体应用内容，但确实有很多AI应用存在，包括使用小智、GPT等技术。随着技术发展，会有更多工程师涉足这一领域。</w:t>
      </w:r>
    </w:p>
    <w:p>
      <w:r>
        <w:rPr>
          <w:rFonts w:ascii="等线(中文正文)" w:hAnsi="等线(中文正文)" w:cs="等线(中文正文)" w:eastAsia="等线(中文正文)"/>
          <w:b w:val="false"/>
          <w:i w:val="false"/>
          <w:sz w:val="20"/>
        </w:rPr>
        <w:t/>
      </w:r>
    </w:p>
    <w:p>
      <w:pPr>
        <w:pStyle w:val="ab"/>
      </w:pPr>
      <w:r>
        <w:t>是否有关注或规划针对应季的wifi芯片市场，尤其是wifi hello wifi方面的应用规模和发展情况？</w:t>
      </w:r>
    </w:p>
    <w:p>
      <w:r>
        <w:rPr>
          <w:rFonts w:ascii="等线(中文正文)" w:hAnsi="等线(中文正文)" w:cs="等线(中文正文)" w:eastAsia="等线(中文正文)"/>
          <w:b w:val="false"/>
          <w:i w:val="false"/>
          <w:sz w:val="20"/>
        </w:rPr>
        <w:t>发言人1：目前我们的产品战略已涵盖wifi和蓝牙等多种连接方式，暂未规划工作通信部分。虽然有专门部门研究这些技术，但是否投入大量资源还需根据产品规划来决定。我们之前也有尝试过一些连接方式并最终放弃，所以不能确定一定会涉足某个领域，只有发布具体产品申报时才能确认。</w:t>
      </w:r>
    </w:p>
    <w:p>
      <w:r>
        <w:rPr>
          <w:rFonts w:ascii="等线(中文正文)" w:hAnsi="等线(中文正文)" w:cs="等线(中文正文)" w:eastAsia="等线(中文正文)"/>
          <w:b w:val="false"/>
          <w:i w:val="false"/>
          <w:sz w:val="20"/>
        </w:rPr>
        <w:t/>
      </w:r>
    </w:p>
    <w:p>
      <w:pPr>
        <w:pStyle w:val="ab"/>
      </w:pPr>
      <w:r>
        <w:t>公司一期路由器预计何时推出，并开始具备终端客户商业功能？</w:t>
      </w:r>
    </w:p>
    <w:p>
      <w:r>
        <w:rPr>
          <w:rFonts w:ascii="等线(中文正文)" w:hAnsi="等线(中文正文)" w:cs="等线(中文正文)" w:eastAsia="等线(中文正文)"/>
          <w:b w:val="false"/>
          <w:i w:val="false"/>
          <w:sz w:val="20"/>
        </w:rPr>
        <w:t>发言人1：我们争取今年推出这款路由器，具体时间取决于产品研发进度。我们的目标是在发布新产品申报时告知大家，一旦确定就会公布。</w:t>
      </w:r>
    </w:p>
    <w:p>
      <w:r>
        <w:rPr>
          <w:rFonts w:ascii="等线(中文正文)" w:hAnsi="等线(中文正文)" w:cs="等线(中文正文)" w:eastAsia="等线(中文正文)"/>
          <w:b w:val="false"/>
          <w:i w:val="false"/>
          <w:sz w:val="20"/>
        </w:rPr>
        <w:t/>
      </w:r>
    </w:p>
    <w:p>
      <w:pPr>
        <w:pStyle w:val="ab"/>
      </w:pPr>
      <w:r>
        <w:t>公司对第三方开发者生态有何规划？预计未来几年开发者人数和应用数量会有大幅增长吗？</w:t>
      </w:r>
    </w:p>
    <w:p>
      <w:r>
        <w:rPr>
          <w:rFonts w:ascii="等线(中文正文)" w:hAnsi="等线(中文正文)" w:cs="等线(中文正文)" w:eastAsia="等线(中文正文)"/>
          <w:b w:val="false"/>
          <w:i w:val="false"/>
          <w:sz w:val="20"/>
        </w:rPr>
        <w:t>发言人1：目前主要开发者为嵌入式硬件工程师，但在AI的帮助下，开发门槛降低，越来越多纯软件工程师开始加入我们的生态。未来我们还规划了零点操作系统芯片的研发，以触达更广泛的开发者群体。通过降低开发门槛和提供文档支持、MCP读器等工具，我们相信开发者数量将持续扩大。</w:t>
      </w:r>
    </w:p>
    <w:p>
      <w:r>
        <w:rPr>
          <w:rFonts w:ascii="等线(中文正文)" w:hAnsi="等线(中文正文)" w:cs="等线(中文正文)" w:eastAsia="等线(中文正文)"/>
          <w:b w:val="false"/>
          <w:i w:val="false"/>
          <w:sz w:val="20"/>
        </w:rPr>
        <w:t/>
      </w:r>
    </w:p>
    <w:p>
      <w:pPr>
        <w:pStyle w:val="ab"/>
      </w:pPr>
      <w:r>
        <w:t>公司在选择客户方面，是倾向于寻找更多的中小客户还是有大客户接入？</w:t>
      </w:r>
    </w:p>
    <w:p>
      <w:r>
        <w:rPr>
          <w:rFonts w:ascii="等线(中文正文)" w:hAnsi="等线(中文正文)" w:cs="等线(中文正文)" w:eastAsia="等线(中文正文)"/>
          <w:b w:val="false"/>
          <w:i w:val="false"/>
          <w:sz w:val="20"/>
        </w:rPr>
        <w:t>发言人1：我们不特意挑选大客户或中小客户，我们的目标是to b市场。无论是中小企业还是大公司，只要他们是我们的开发者和最终客户，我们都欢迎合作。前十大客户营收占比约为20.3%。</w:t>
      </w:r>
    </w:p>
    <w:p>
      <w:r>
        <w:rPr>
          <w:rFonts w:ascii="等线(中文正文)" w:hAnsi="等线(中文正文)" w:cs="等线(中文正文)" w:eastAsia="等线(中文正文)"/>
          <w:b w:val="false"/>
          <w:i w:val="false"/>
          <w:sz w:val="20"/>
        </w:rPr>
        <w:t/>
      </w:r>
    </w:p>
    <w:p>
      <w:pPr>
        <w:pStyle w:val="ab"/>
      </w:pPr>
      <w:r>
        <w:t>公司在软硬件结合方面的发展状态如何？毛利率是否持续上升？</w:t>
      </w:r>
    </w:p>
    <w:p>
      <w:r>
        <w:rPr>
          <w:rFonts w:ascii="等线(中文正文)" w:hAnsi="等线(中文正文)" w:cs="等线(中文正文)" w:eastAsia="等线(中文正文)"/>
          <w:b w:val="false"/>
          <w:i w:val="false"/>
          <w:sz w:val="20"/>
        </w:rPr>
        <w:t>发言人1：公司在软硬件结合方面保持良好发展状态，毛利率也在不断上升，但由于内部不允许单独披露拆分数据，无法提供具体数据。</w:t>
      </w:r>
    </w:p>
    <w:p>
      <w:r>
        <w:rPr>
          <w:rFonts w:ascii="等线(中文正文)" w:hAnsi="等线(中文正文)" w:cs="等线(中文正文)" w:eastAsia="等线(中文正文)"/>
          <w:b w:val="false"/>
          <w:i w:val="false"/>
          <w:sz w:val="20"/>
        </w:rPr>
        <w:t/>
      </w:r>
    </w:p>
    <w:p>
      <w:pPr>
        <w:pStyle w:val="ab"/>
      </w:pPr>
      <w:r>
        <w:t>解禁对我们公司股票短期有何影响？</w:t>
      </w:r>
    </w:p>
    <w:p>
      <w:r>
        <w:rPr>
          <w:rFonts w:ascii="等线(中文正文)" w:hAnsi="等线(中文正文)" w:cs="等线(中文正文)" w:eastAsia="等线(中文正文)"/>
          <w:b w:val="false"/>
          <w:i w:val="false"/>
          <w:sz w:val="20"/>
        </w:rPr>
        <w:t>发言人1：解禁对股票短期影响较小，因为长期持有老朋友生物以及国有资金等看好公司发展，不太可能迅速减少投资。此外，对于国有资金而言，他们通常不会参与二级市场短线操作，而是长期持有支持公司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2026-04-26T23:52:23Z</dcterms:created>
  <dc:creator>Apache POI</dc:creator>
</cp:coreProperties>
</file>