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长江-DeepSeekV4发布，国产AI产业迎来新一轮上行周期 260424_导读</w:t>
      </w:r>
    </w:p>
    <w:p>
      <w:pPr>
        <w:pStyle w:val="a0"/>
        <w:jc w:val="center"/>
      </w:pPr>
      <w:r>
        <w:t>2026年04月27日 07:44</w:t>
      </w:r>
    </w:p>
    <w:p>
      <w:pPr>
        <w:pStyle w:val="a7"/>
      </w:pPr>
      <w:r>
        <w:t>关键词</w:t>
      </w:r>
    </w:p>
    <w:p>
      <w:r>
        <w:rPr>
          <w:rFonts w:ascii="等线(中文正文)" w:hAnsi="等线(中文正文)" w:cs="等线(中文正文)" w:eastAsia="等线(中文正文)"/>
          <w:b w:val="false"/>
          <w:i w:val="false"/>
          <w:sz w:val="20"/>
        </w:rPr>
        <w:t xml:space="preserve">国产大模型 商业价值 云服务 产能扩张 性能损耗 电子 封测 供应链 IDC AI 服务器 华丰科技 润德科技 新威 深圳金威 铜连接 AIMG 广告投流 多模态 字节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产大模型V4的发布标志着中国在AI领域的重大技术突破，进入万亿参数时代，显著提升了模型能力，尤其在世界知识广度和编程能力方面展现了相对于其他开源模型的进步，对整个AI产业产生了深远影响。此次发布不仅预示着国产技术在AI产业链各环节的积极作用，也强调了国产芯片和算力技术的进步对推动AI应用的重要性，以及AI对IDC、服务器、云计算等领域带来的机遇。此外，AI在传媒、娱乐领域的应用，特别是在内容生成和广告投流方面的潜在市场，显示了AI应用细分赛道的增长潜力和围绕多模态技术迭代带来的市场机会。总的来说，国产大模型V4的发布对AI产业的发展具有重要意义，预示着国产技术在AI领域的广阔前景和未来发展趋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国产A产业V4模型发布：万亿参数与核心能力提升</w:t>
      </w:r>
    </w:p>
    <w:p>
      <w:r>
        <w:rPr>
          <w:rFonts w:ascii="等线(中文正文)" w:hAnsi="等线(中文正文)" w:cs="等线(中文正文)" w:eastAsia="等线(中文正文)"/>
          <w:b w:val="false"/>
          <w:i w:val="false"/>
          <w:sz w:val="20"/>
        </w:rPr>
        <w:t>V4模型发布，标志着国产大模型正式进入万亿参数时代，核心能力显著增强，特别是在A进扣点评测、世界知识广度、coding能力方面取得重大突破。模型采用CSA压缩稀疏注意力和HAHC重度压缩注意力机制，大幅降低算力和存储消耗，提升了推理效率和上下文处理能力，预示着国产模型发展的重要里程碑。</w:t>
      </w:r>
    </w:p>
    <w:p>
      <w:r>
        <w:rPr>
          <w:rFonts w:ascii="等线(中文正文)" w:hAnsi="等线(中文正文)" w:cs="等线(中文正文)" w:eastAsia="等线(中文正文)"/>
          <w:b w:val="false"/>
          <w:i w:val="false"/>
          <w:sz w:val="20"/>
        </w:rPr>
        <w:t/>
      </w:r>
    </w:p>
    <w:p>
      <w:pPr>
        <w:pStyle w:val="ab"/>
        <w:numPr>
          <w:numId w:val="2"/>
        </w:numPr>
      </w:pPr>
      <w:r>
        <w:t>04:16 AI化转型与国产模型商业价值重估</w:t>
      </w:r>
    </w:p>
    <w:p>
      <w:r>
        <w:rPr>
          <w:rFonts w:ascii="等线(中文正文)" w:hAnsi="等线(中文正文)" w:cs="等线(中文正文)" w:eastAsia="等线(中文正文)"/>
          <w:b w:val="false"/>
          <w:i w:val="false"/>
          <w:sz w:val="20"/>
        </w:rPr>
        <w:t>对话讨论了全球AI化转型背景下，AI从工具转向生产力替代的趋势，以及国产模型商业价值的重估。核心观点包括AI化带来的token价值提升，国产模型在算力紧缺和AI混合使用场景下的商业价值，以及deep seek技术对国内模型能力提升的影响。预计未来国内token推理链将迎来二次爆发。</w:t>
      </w:r>
    </w:p>
    <w:p>
      <w:r>
        <w:rPr>
          <w:rFonts w:ascii="等线(中文正文)" w:hAnsi="等线(中文正文)" w:cs="等线(中文正文)" w:eastAsia="等线(中文正文)"/>
          <w:b w:val="false"/>
          <w:i w:val="false"/>
          <w:sz w:val="20"/>
        </w:rPr>
        <w:t/>
      </w:r>
    </w:p>
    <w:p>
      <w:pPr>
        <w:pStyle w:val="ab"/>
        <w:numPr>
          <w:numId w:val="3"/>
        </w:numPr>
      </w:pPr>
      <w:r>
        <w:t>07:12 国内AI模型与云服务产业链全面爆发</w:t>
      </w:r>
    </w:p>
    <w:p>
      <w:r>
        <w:rPr>
          <w:rFonts w:ascii="等线(中文正文)" w:hAnsi="等线(中文正文)" w:cs="等线(中文正文)" w:eastAsia="等线(中文正文)"/>
          <w:b w:val="false"/>
          <w:i w:val="false"/>
          <w:sz w:val="20"/>
        </w:rPr>
        <w:t>对话强调了国内AI模型与云服务产业链的爆发性增长，包括模型操控通胀与需求大爆发、云架构创新与服务重构、以及算力芯片的国产化替代。指出在AI从顾问转向员工的背景下，云服务将全面面向AI，传统云服务和AI部分均将迎来提升，芯片需求旺盛，尤其是CPU、GPU和网卡。整体看好国内AI产业链的未来发展。</w:t>
      </w:r>
    </w:p>
    <w:p>
      <w:r>
        <w:rPr>
          <w:rFonts w:ascii="等线(中文正文)" w:hAnsi="等线(中文正文)" w:cs="等线(中文正文)" w:eastAsia="等线(中文正文)"/>
          <w:b w:val="false"/>
          <w:i w:val="false"/>
          <w:sz w:val="20"/>
        </w:rPr>
        <w:t/>
      </w:r>
    </w:p>
    <w:p>
      <w:pPr>
        <w:pStyle w:val="ab"/>
        <w:numPr>
          <w:numId w:val="4"/>
        </w:numPr>
      </w:pPr>
      <w:r>
        <w:t>11:03 电子狗中V4发布推动国产芯片产业链升级</w:t>
      </w:r>
    </w:p>
    <w:p>
      <w:r>
        <w:rPr>
          <w:rFonts w:ascii="等线(中文正文)" w:hAnsi="等线(中文正文)" w:cs="等线(中文正文)" w:eastAsia="等线(中文正文)"/>
          <w:b w:val="false"/>
          <w:i w:val="false"/>
          <w:sz w:val="20"/>
        </w:rPr>
        <w:t>电子狗中V4发布采用国产算力芯片，显著提升供应链需求。与传统模型迁移路径不同，本次发布实现了软件硬件的深度适配，大幅降低性能损耗，提升效率。未来，国产芯片产业链，包括晶圆封测、存储设备等，将迎来更多机遇。</w:t>
      </w:r>
    </w:p>
    <w:p>
      <w:r>
        <w:rPr>
          <w:rFonts w:ascii="等线(中文正文)" w:hAnsi="等线(中文正文)" w:cs="等线(中文正文)" w:eastAsia="等线(中文正文)"/>
          <w:b w:val="false"/>
          <w:i w:val="false"/>
          <w:sz w:val="20"/>
        </w:rPr>
        <w:t/>
      </w:r>
    </w:p>
    <w:p>
      <w:pPr>
        <w:pStyle w:val="ab"/>
        <w:numPr>
          <w:numId w:val="5"/>
        </w:numPr>
      </w:pPr>
      <w:r>
        <w:t>13:22 国产芯片产能扩张与技术提升趋势</w:t>
      </w:r>
    </w:p>
    <w:p>
      <w:r>
        <w:rPr>
          <w:rFonts w:ascii="等线(中文正文)" w:hAnsi="等线(中文正文)" w:cs="等线(中文正文)" w:eastAsia="等线(中文正文)"/>
          <w:b w:val="false"/>
          <w:i w:val="false"/>
          <w:sz w:val="20"/>
        </w:rPr>
        <w:t>对话讨论了国内芯片产能紧张的现状及其对行业发展的潜在影响，指出随着产业扩张和技术水平的提升，国产芯片发展加速，多家企业采用新能源工艺，与供应链深度配合，预计产能扩张将显著提升芯片需求，带动核心企业如中锐国际、华为半导体等受益，未来产能和技术提升将推动国产芯片全面适配，改善业绩表现，值得重视。</w:t>
      </w:r>
    </w:p>
    <w:p>
      <w:r>
        <w:rPr>
          <w:rFonts w:ascii="等线(中文正文)" w:hAnsi="等线(中文正文)" w:cs="等线(中文正文)" w:eastAsia="等线(中文正文)"/>
          <w:b w:val="false"/>
          <w:i w:val="false"/>
          <w:sz w:val="20"/>
        </w:rPr>
        <w:t/>
      </w:r>
    </w:p>
    <w:p>
      <w:pPr>
        <w:pStyle w:val="ab"/>
        <w:numPr>
          <w:numId w:val="6"/>
        </w:numPr>
      </w:pPr>
      <w:r>
        <w:t>15:21 电子行业封测与材料板块的投资机会分析</w:t>
      </w:r>
    </w:p>
    <w:p>
      <w:r>
        <w:rPr>
          <w:rFonts w:ascii="等线(中文正文)" w:hAnsi="等线(中文正文)" w:cs="等线(中文正文)" w:eastAsia="等线(中文正文)"/>
          <w:b w:val="false"/>
          <w:i w:val="false"/>
          <w:sz w:val="20"/>
        </w:rPr>
        <w:t>对话讨论了封测行业在2023年初的紧张状态，预测大陆地区将面临更剧烈的紧缺现象，先进封测可能成为新的紧缺环节。深圳新威等龙头公司在2.5D/3D封装技术方面具备优势，市场需求增加将推动价格和盈利能力提升。华盛新材等材料公司完成0到1的突破，进入AI核心供应链，值得关注。存储与新技术形态落地也是电子行业值得关注的方向。</w:t>
      </w:r>
    </w:p>
    <w:p>
      <w:r>
        <w:rPr>
          <w:rFonts w:ascii="等线(中文正文)" w:hAnsi="等线(中文正文)" w:cs="等线(中文正文)" w:eastAsia="等线(中文正文)"/>
          <w:b w:val="false"/>
          <w:i w:val="false"/>
          <w:sz w:val="20"/>
        </w:rPr>
        <w:t/>
      </w:r>
    </w:p>
    <w:p>
      <w:pPr>
        <w:pStyle w:val="ab"/>
        <w:numPr>
          <w:numId w:val="7"/>
        </w:numPr>
      </w:pPr>
      <w:r>
        <w:t>19:38 通信国产化与IDC行业机遇</w:t>
      </w:r>
    </w:p>
    <w:p>
      <w:r>
        <w:rPr>
          <w:rFonts w:ascii="等线(中文正文)" w:hAnsi="等线(中文正文)" w:cs="等线(中文正文)" w:eastAsia="等线(中文正文)"/>
          <w:b w:val="false"/>
          <w:i w:val="false"/>
          <w:sz w:val="20"/>
        </w:rPr>
        <w:t>对话聚焦于通信领域的国产化进程，强调了华丰科技、烽火通信等企业在华为供应链中的重要地位，以及长江计算在服务器市场的竞争力。同时，讨论了IDC行业在需求旺盛背景下的卡位优势和潜在涨价空间，推荐了润德科技等公司在数据中心领域的布局与前景。</w:t>
      </w:r>
    </w:p>
    <w:p>
      <w:r>
        <w:rPr>
          <w:rFonts w:ascii="等线(中文正文)" w:hAnsi="等线(中文正文)" w:cs="等线(中文正文)" w:eastAsia="等线(中文正文)"/>
          <w:b w:val="false"/>
          <w:i w:val="false"/>
          <w:sz w:val="20"/>
        </w:rPr>
        <w:t/>
      </w:r>
    </w:p>
    <w:p>
      <w:pPr>
        <w:pStyle w:val="ab"/>
        <w:numPr>
          <w:numId w:val="8"/>
        </w:numPr>
      </w:pPr>
      <w:r>
        <w:t>28:12 AI慢剧赛道：市场增长与多模态更迭的双重驱动</w:t>
      </w:r>
    </w:p>
    <w:p>
      <w:r>
        <w:rPr>
          <w:rFonts w:ascii="等线(中文正文)" w:hAnsi="等线(中文正文)" w:cs="等线(中文正文)" w:eastAsia="等线(中文正文)"/>
          <w:b w:val="false"/>
          <w:i w:val="false"/>
          <w:sz w:val="20"/>
        </w:rPr>
        <w:t>对话聚焦于AI慢剧细分赛道的市场潜力，指出行业规模迅速扩大，从日消耗2000-3000增长至7000-8000，预计年市场规模将超400亿，较去年增长150%-200%。同时，多模态技术的快速更迭，如4K影像模型与高分产品Happy Horse，持续催化板块关注度，看好该赛道未来机会。</w:t>
      </w:r>
    </w:p>
    <w:p>
      <w:r>
        <w:rPr>
          <w:rFonts w:ascii="等线(中文正文)" w:hAnsi="等线(中文正文)" w:cs="等线(中文正文)" w:eastAsia="等线(中文正文)"/>
          <w:b w:val="false"/>
          <w:i w:val="false"/>
          <w:sz w:val="20"/>
        </w:rPr>
        <w:t/>
      </w:r>
    </w:p>
    <w:p>
      <w:pPr>
        <w:pStyle w:val="ab"/>
        <w:numPr>
          <w:numId w:val="9"/>
        </w:numPr>
      </w:pPr>
      <w:r>
        <w:t>33:58 AI应用赛道分析：产业链四环节与投资推荐</w:t>
      </w:r>
    </w:p>
    <w:p>
      <w:r>
        <w:rPr>
          <w:rFonts w:ascii="等线(中文正文)" w:hAnsi="等线(中文正文)" w:cs="等线(中文正文)" w:eastAsia="等线(中文正文)"/>
          <w:b w:val="false"/>
          <w:i w:val="false"/>
          <w:sz w:val="20"/>
        </w:rPr>
        <w:t>对话围绕AI应用赛道展开，重点分析了产业链四个环节：IP方、工具侧、制作侧和下游平台。推荐关注产业链上下两端，即IP方和平台方，尤其是与字节合作的掌阅，以及契合AI管理平台的B站。中游环节提及快手，认为其估值被低估，未来可能迎来主题性增长。整体强调AI应用赛道认知不足，行业规模超预期，大厂多模态迭代频繁。</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对本次部门V4发布的国产A产业依赖系统上行周期进行了综合汇报，强调了其重要意义。V4作为一款预览版，标志着中国大模型时代的开始，特别是大模型参数正式进入万亿时代。他详细介绍了V4发布的关键点，包括模型的增强能力、知识广度的扩展以及编码能力的显著提升，暗示着该系统在多方面超越了先前版本和同类开源模型。此外，他还提到，随着国产模型商业价值的重估和全球算力紧缺，预计这将推动整个AI产业的快速发展，特别是在文本领域的操控和国产大模型的能力提升方面。他最后强调，看好国产模型的发展，尤其是在云服务和芯片领域，以及AI在传媒领域的应用潜力，提出了对产业链各环节的深度分析和未来展望。</w:t>
      </w:r>
    </w:p>
    <w:p>
      <w:r>
        <w:rPr>
          <w:rFonts w:ascii="等线(中文正文)" w:hAnsi="等线(中文正文)" w:cs="等线(中文正文)" w:eastAsia="等线(中文正文)"/>
          <w:b w:val="false"/>
          <w:i w:val="false"/>
          <w:sz w:val="20"/>
        </w:rPr>
        <w:t/>
      </w:r>
    </w:p>
    <w:p>
      <w:pPr>
        <w:pStyle w:val="a7"/>
      </w:pPr>
      <w:r>
        <w:t>要点回顾</w:t>
      </w:r>
    </w:p>
    <w:p>
      <w:pPr>
        <w:pStyle w:val="ab"/>
      </w:pPr>
      <w:r>
        <w:t>今晚关于dept v4发布的汇报主要涵盖了哪些内容？</w:t>
      </w:r>
    </w:p>
    <w:p>
      <w:r>
        <w:rPr>
          <w:rFonts w:ascii="等线(中文正文)" w:hAnsi="等线(中文正文)" w:cs="等线(中文正文)" w:eastAsia="等线(中文正文)"/>
          <w:b w:val="false"/>
          <w:i w:val="false"/>
          <w:sz w:val="20"/>
        </w:rPr>
        <w:t>发言人1：今晚的汇报是由我们联合长江建等四个团队进行的综合汇报，主要围绕着V4发布国产A产业依赖系统的上行周期整体情况。首先介绍了V4的发布情况，包括其预览版的发布以及两个模型版本的详细参数信息。接着深入探讨了此次发布的核心关键点，指出V4标志着中国大模型正式进入万亿参数时代，并在多个方面表现突出，如模型能力大幅提升、知识广度超过V3.2版本、在coding能力上得到了业界广泛好评，甚至超越了世界顶尖模型的部分评测指标。此外，还详细说明了V4在架构创新上采用的新技术，如CSA压缩稀疏注意力和HAHC重度压缩注意力机制，这些创新使得单token推理消耗下降67%，生存吞吐量显著提升，同时KV开始的缓存也大幅下降。</w:t>
      </w:r>
    </w:p>
    <w:p>
      <w:r>
        <w:rPr>
          <w:rFonts w:ascii="等线(中文正文)" w:hAnsi="等线(中文正文)" w:cs="等线(中文正文)" w:eastAsia="等线(中文正文)"/>
          <w:b w:val="false"/>
          <w:i w:val="false"/>
          <w:sz w:val="20"/>
        </w:rPr>
        <w:t/>
      </w:r>
    </w:p>
    <w:p>
      <w:pPr>
        <w:pStyle w:val="ab"/>
      </w:pPr>
      <w:r>
        <w:t>V4模型发布对于国产模型领域有哪些重要影响？</w:t>
      </w:r>
    </w:p>
    <w:p>
      <w:r>
        <w:rPr>
          <w:rFonts w:ascii="等线(中文正文)" w:hAnsi="等线(中文正文)" w:cs="等线(中文正文)" w:eastAsia="等线(中文正文)"/>
          <w:b w:val="false"/>
          <w:i w:val="false"/>
          <w:sz w:val="20"/>
        </w:rPr>
        <w:t>发言人1：V4模型发布不仅实现了万亿参数规模的突破，而且在性能上取得显著提升，特别是在coding能力方面表现出色。它的成功发布预计将带动整个国产模型在国内文本领域商业价值的二次提升，因为很多国产大模型会吸收V4的技术精华，推动工业大模型水平全面进步。预计未来国内模型的能力将与海外差距收窄，国内token的内涵价值也将明显提升。因此，从现在起，我们非常看好整个国内token推理链的二次爆发。</w:t>
      </w:r>
    </w:p>
    <w:p>
      <w:r>
        <w:rPr>
          <w:rFonts w:ascii="等线(中文正文)" w:hAnsi="等线(中文正文)" w:cs="等线(中文正文)" w:eastAsia="等线(中文正文)"/>
          <w:b w:val="false"/>
          <w:i w:val="false"/>
          <w:sz w:val="20"/>
        </w:rPr>
        <w:t/>
      </w:r>
    </w:p>
    <w:p>
      <w:pPr>
        <w:pStyle w:val="ab"/>
      </w:pPr>
      <w:r>
        <w:t>对于今年AI产业有哪些主要变化和展望？</w:t>
      </w:r>
    </w:p>
    <w:p>
      <w:r>
        <w:rPr>
          <w:rFonts w:ascii="等线(中文正文)" w:hAnsi="等线(中文正文)" w:cs="等线(中文正文)" w:eastAsia="等线(中文正文)"/>
          <w:b w:val="false"/>
          <w:i w:val="false"/>
          <w:sz w:val="20"/>
        </w:rPr>
        <w:t>发言人1：今年AI产业有两大主要变化。首先，AI化开始从顾问角色转向深圳员工角色，导致整个AI的价值重估，包括头部和二线厂商在内的各类模型价值量大幅提升。其次，国产模型的商业价值被重新评估，由于全球算力紧缺限制了头部模型的爆发，二线模型也开始展现其商业价值。此外，随着AI进入通用经济时代，AD时代来临后，AI开始正式替代生产力工具。基于这些变化，我们看好今年AI推理产业的表现，特别是国产模型的表现及其在国内的二次爆发潜力。同时，也看好云服务环节，除了大模型带动云收入爆发外，云架构也开始进行全面创新，不仅依靠模型本身，还结合其他技术手段解决解锁需求，从而带来更多的商业价值。</w:t>
      </w:r>
    </w:p>
    <w:p>
      <w:r>
        <w:rPr>
          <w:rFonts w:ascii="等线(中文正文)" w:hAnsi="等线(中文正文)" w:cs="等线(中文正文)" w:eastAsia="等线(中文正文)"/>
          <w:b w:val="false"/>
          <w:i w:val="false"/>
          <w:sz w:val="20"/>
        </w:rPr>
        <w:t/>
      </w:r>
    </w:p>
    <w:p>
      <w:pPr>
        <w:pStyle w:val="ab"/>
      </w:pPr>
      <w:r>
        <w:t>在AI从顾问转向员工的过程中，云服务有哪些变化和需求增长？</w:t>
      </w:r>
    </w:p>
    <w:p>
      <w:r>
        <w:rPr>
          <w:rFonts w:ascii="等线(中文正文)" w:hAnsi="等线(中文正文)" w:cs="等线(中文正文)" w:eastAsia="等线(中文正文)"/>
          <w:b w:val="false"/>
          <w:i w:val="false"/>
          <w:sz w:val="20"/>
        </w:rPr>
        <w:t>发言人1：随着AI角色的转变，整个消耗AI的资源除了大屏外，还围绕着生态信号的需求，如地图定位、外卖数据库等大量调用。疫情爆发后，消费行为从依赖日活转向业务数据驱动，操作形态由以人为主变为以A型为主。这将导致云上的服务进行全面重构和打通，面向AI或A型需求为主，从而引发CPU及相关云服务、容器等需求井喷式增长，预计传统云服务非AI部分也会迎来数倍甚至10倍以上的提升。</w:t>
      </w:r>
    </w:p>
    <w:p>
      <w:r>
        <w:rPr>
          <w:rFonts w:ascii="等线(中文正文)" w:hAnsi="等线(中文正文)" w:cs="等线(中文正文)" w:eastAsia="等线(中文正文)"/>
          <w:b w:val="false"/>
          <w:i w:val="false"/>
          <w:sz w:val="20"/>
        </w:rPr>
        <w:t/>
      </w:r>
    </w:p>
    <w:p>
      <w:pPr>
        <w:pStyle w:val="ab"/>
      </w:pPr>
      <w:r>
        <w:t>对于算力方面，有哪些发展趋势和机会？</w:t>
      </w:r>
    </w:p>
    <w:p>
      <w:r>
        <w:rPr>
          <w:rFonts w:ascii="等线(中文正文)" w:hAnsi="等线(中文正文)" w:cs="等线(中文正文)" w:eastAsia="等线(中文正文)"/>
          <w:b w:val="false"/>
          <w:i w:val="false"/>
          <w:sz w:val="20"/>
        </w:rPr>
        <w:t>发言人1：在算力领域，国内芯片供应受限，尤其是国产CPU因海外缺货而受益。除了国产AI芯片外，国产CPU、网卡等也会迎来较大机会。海外供给紧缺将加速国内替代进程，特别是DPUV4发布后，预计国内算力能力将有较大提升。此外，虽然降本是趋势，但目前需求旺盛，且计算机芯片如CPU、GPU、网卡以及云服务和模型后续会有二次需求爆发，整个国内相关产业链值得重视。</w:t>
      </w:r>
    </w:p>
    <w:p>
      <w:r>
        <w:rPr>
          <w:rFonts w:ascii="等线(中文正文)" w:hAnsi="等线(中文正文)" w:cs="等线(中文正文)" w:eastAsia="等线(中文正文)"/>
          <w:b w:val="false"/>
          <w:i w:val="false"/>
          <w:sz w:val="20"/>
        </w:rPr>
        <w:t/>
      </w:r>
    </w:p>
    <w:p>
      <w:pPr>
        <w:pStyle w:val="ab"/>
      </w:pPr>
      <w:r>
        <w:t>V4发布对整个产业链有哪些带动作用，尤其是对于国产算力芯片的影响？</w:t>
      </w:r>
    </w:p>
    <w:p>
      <w:r>
        <w:rPr>
          <w:rFonts w:ascii="等线(中文正文)" w:hAnsi="等线(中文正文)" w:cs="等线(中文正文)" w:eastAsia="等线(中文正文)"/>
          <w:b w:val="false"/>
          <w:i w:val="false"/>
          <w:sz w:val="20"/>
        </w:rPr>
        <w:t>发言人1：V4发布采用国产算力芯片，将带动对芯片需求的增长和供应链的优化提升。国产芯片在训练推理方面有望借此机会实现更大幅度的提升。此次V4发布的全链条深度适配模式，即从底层硬件到通信协议、内存管理及推理引擎都进行了深度优化，区别于以往仅在海外卡上跑通模型再迁移的做法，这将进一步推动国产芯片在硬件和软件层面的双重适配，形成更好的扩展率和整体效率，高阳少年生态已逐步从可用走向好用阶段，未来整个产业链将随着模型体量的增长和芯片性能提升，以及相关台面设备材料的发展而受益。</w:t>
      </w:r>
    </w:p>
    <w:p>
      <w:r>
        <w:rPr>
          <w:rFonts w:ascii="等线(中文正文)" w:hAnsi="等线(中文正文)" w:cs="等线(中文正文)" w:eastAsia="等线(中文正文)"/>
          <w:b w:val="false"/>
          <w:i w:val="false"/>
          <w:sz w:val="20"/>
        </w:rPr>
        <w:t/>
      </w:r>
    </w:p>
    <w:p>
      <w:pPr>
        <w:pStyle w:val="ab"/>
      </w:pPr>
      <w:r>
        <w:t>国内芯片产能紧张状况如何，以及对此的看法？</w:t>
      </w:r>
    </w:p>
    <w:p>
      <w:r>
        <w:rPr>
          <w:rFonts w:ascii="等线(中文正文)" w:hAnsi="等线(中文正文)" w:cs="等线(中文正文)" w:eastAsia="等线(中文正文)"/>
          <w:b w:val="false"/>
          <w:i w:val="false"/>
          <w:sz w:val="20"/>
        </w:rPr>
        <w:t>发言人1：目前，国内芯片产能尤其是晶圆产能仍较为紧张，可能会影响芯片迭代速度。然而，随着产业产能扩张和技术水平不断提升，国产芯片发展速度加快，国内厂商采用先进的N+2、N+3新能源工艺并与供应链龙头深度配合，已实现较大体量的突破。随着模型用量不断增加，对芯片的需求将大幅度提升，中芯国际、华虹等核心厂商将明显受益于行业发展。同时，这些厂商在产能扩张和技术提升的基础上，有望改善业绩和能力，对于适配国产芯片及相关周边芯片的全面量级提升，未来发展值得密切关注。</w:t>
      </w:r>
    </w:p>
    <w:p>
      <w:r>
        <w:rPr>
          <w:rFonts w:ascii="等线(中文正文)" w:hAnsi="等线(中文正文)" w:cs="等线(中文正文)" w:eastAsia="等线(中文正文)"/>
          <w:b w:val="false"/>
          <w:i w:val="false"/>
          <w:sz w:val="20"/>
        </w:rPr>
        <w:t/>
      </w:r>
    </w:p>
    <w:p>
      <w:pPr>
        <w:pStyle w:val="ab"/>
      </w:pPr>
      <w:r>
        <w:t>台湾的日光因为信息封测紧张，其业务增长了20%到30%，这是否意味着大陆这边的封测领域也会出现更剧烈的现象？</w:t>
      </w:r>
    </w:p>
    <w:p>
      <w:r>
        <w:rPr>
          <w:rFonts w:ascii="等线(中文正文)" w:hAnsi="等线(中文正文)" w:cs="等线(中文正文)" w:eastAsia="等线(中文正文)"/>
          <w:b w:val="false"/>
          <w:i w:val="false"/>
          <w:sz w:val="20"/>
        </w:rPr>
        <w:t>发言人1：是的，由于台湾封测技术和商业扩产的宽松度相对较高，年初日光的信息封测紧张情况预示着大陆这边可能会有更明显的产能紧缺现象，特别是先进封测环节可能成为产品紧缺的新焦点。</w:t>
      </w:r>
    </w:p>
    <w:p>
      <w:r>
        <w:rPr>
          <w:rFonts w:ascii="等线(中文正文)" w:hAnsi="等线(中文正文)" w:cs="等线(中文正文)" w:eastAsia="等线(中文正文)"/>
          <w:b w:val="false"/>
          <w:i w:val="false"/>
          <w:sz w:val="20"/>
        </w:rPr>
        <w:t/>
      </w:r>
    </w:p>
    <w:p>
      <w:pPr>
        <w:pStyle w:val="ab"/>
      </w:pPr>
      <w:r>
        <w:t>大陆封测公司中，顺丰智威的地位如何？它有哪些竞争优势？对于封测行业的投资规模和技术水平有何看法？</w:t>
      </w:r>
    </w:p>
    <w:p>
      <w:r>
        <w:rPr>
          <w:rFonts w:ascii="等线(中文正文)" w:hAnsi="等线(中文正文)" w:cs="等线(中文正文)" w:eastAsia="等线(中文正文)"/>
          <w:b w:val="false"/>
          <w:i w:val="false"/>
          <w:sz w:val="20"/>
        </w:rPr>
        <w:t>发言人1：顺丰智威作为大陆新公司板块市场份额占比超过80%的龙头企业，拥有丰富的2.5D和3D封装技术，且是国产商业芯片的主要封装测试地点。随着新建厂的投产，顺丰智威的需求将显著增加，但同时要注意过去封测行业投资规模较小的问题，而现在需求爆发时，新建厂的投产存在时间窗口差异，可能会导致短期内产能紧缺状态加剧，并对价格产生较强推动效应。现在普遍认为封测行业技术水平不高、整体能力不强，但实际投资一条中一万片的COG产线需要约80到100亿人民币的投资规模，参考台积电每万片COG的投入也接近20亿美金。过去大陆封测厂商保持谨慎投资状态，即使有需求爆发，新建厂的投产也会有时间窗口差异，从而可能带来产能紧缺和价格上升的效应。</w:t>
      </w:r>
    </w:p>
    <w:p>
      <w:r>
        <w:rPr>
          <w:rFonts w:ascii="等线(中文正文)" w:hAnsi="等线(中文正文)" w:cs="等线(中文正文)" w:eastAsia="等线(中文正文)"/>
          <w:b w:val="false"/>
          <w:i w:val="false"/>
          <w:sz w:val="20"/>
        </w:rPr>
        <w:t/>
      </w:r>
    </w:p>
    <w:p>
      <w:pPr>
        <w:pStyle w:val="ab"/>
      </w:pPr>
      <w:r>
        <w:t>有哪些封测公司值得关注？</w:t>
      </w:r>
    </w:p>
    <w:p>
      <w:r>
        <w:rPr>
          <w:rFonts w:ascii="等线(中文正文)" w:hAnsi="等线(中文正文)" w:cs="等线(中文正文)" w:eastAsia="等线(中文正文)"/>
          <w:b w:val="false"/>
          <w:i w:val="false"/>
          <w:sz w:val="20"/>
        </w:rPr>
        <w:t>发言人1：深圳正威、长电科技等传统大型工厂以及第三方测试龙头公司维斯特科均值得关注。维斯特科全面承接国内算芯片测试服务，下单率高，有望成为AI测试服务的重要承接方。</w:t>
      </w:r>
    </w:p>
    <w:p>
      <w:r>
        <w:rPr>
          <w:rFonts w:ascii="等线(中文正文)" w:hAnsi="等线(中文正文)" w:cs="等线(中文正文)" w:eastAsia="等线(中文正文)"/>
          <w:b w:val="false"/>
          <w:i w:val="false"/>
          <w:sz w:val="20"/>
        </w:rPr>
        <w:t/>
      </w:r>
    </w:p>
    <w:p>
      <w:pPr>
        <w:pStyle w:val="ab"/>
      </w:pPr>
      <w:r>
        <w:t>设备材料领域有哪些推荐公司？</w:t>
      </w:r>
    </w:p>
    <w:p>
      <w:r>
        <w:rPr>
          <w:rFonts w:ascii="等线(中文正文)" w:hAnsi="等线(中文正文)" w:cs="等线(中文正文)" w:eastAsia="等线(中文正文)"/>
          <w:b w:val="false"/>
          <w:i w:val="false"/>
          <w:sz w:val="20"/>
        </w:rPr>
        <w:t>发言人1：华盛新材已完成从消费电子制造供应商向AI核心供应链的突破，成功锁定3H公司、上海电路等核心客户订单，剩余市场份额也在不断争取，有望成为BCB供应商中的重要一员。</w:t>
      </w:r>
    </w:p>
    <w:p>
      <w:r>
        <w:rPr>
          <w:rFonts w:ascii="等线(中文正文)" w:hAnsi="等线(中文正文)" w:cs="等线(中文正文)" w:eastAsia="等线(中文正文)"/>
          <w:b w:val="false"/>
          <w:i w:val="false"/>
          <w:sz w:val="20"/>
        </w:rPr>
        <w:t/>
      </w:r>
    </w:p>
    <w:p>
      <w:pPr>
        <w:pStyle w:val="ab"/>
      </w:pPr>
      <w:r>
        <w:t>通信板块有哪些受益于国产化的公司或方向？</w:t>
      </w:r>
    </w:p>
    <w:p>
      <w:r>
        <w:rPr>
          <w:rFonts w:ascii="等线(中文正文)" w:hAnsi="等线(中文正文)" w:cs="等线(中文正文)" w:eastAsia="等线(中文正文)"/>
          <w:b w:val="false"/>
          <w:i w:val="false"/>
          <w:sz w:val="20"/>
        </w:rPr>
        <w:t>发言人1：在通信板块，升腾链方向最先实现适配华为的服务器；铜连接方面，华丰科技是华为服务器的重要标签型供应商，在华为份额饱满且竞争力强，随着华为服务器销量上升，华丰科技也将受益；此外，烽火通信的弹性计算子公司也针对华为昇腾服务器做了专门的适配工作；IDC领域受益于国产化突破后算力提升的预期；同时，海外大模型厂商估值增长迅速，预示着国内算力也将迎来大的提升。</w:t>
      </w:r>
    </w:p>
    <w:p>
      <w:r>
        <w:rPr>
          <w:rFonts w:ascii="等线(中文正文)" w:hAnsi="等线(中文正文)" w:cs="等线(中文正文)" w:eastAsia="等线(中文正文)"/>
          <w:b w:val="false"/>
          <w:i w:val="false"/>
          <w:sz w:val="20"/>
        </w:rPr>
        <w:t/>
      </w:r>
    </w:p>
    <w:p>
      <w:pPr>
        <w:pStyle w:val="ab"/>
      </w:pPr>
      <w:r>
        <w:t>在IDC领域，有哪些公司具有明显的卡位优势，并且在市场中表现突出？</w:t>
      </w:r>
    </w:p>
    <w:p>
      <w:r>
        <w:rPr>
          <w:rFonts w:ascii="等线(中文正文)" w:hAnsi="等线(中文正文)" w:cs="等线(中文正文)" w:eastAsia="等线(中文正文)"/>
          <w:b w:val="false"/>
          <w:i w:val="false"/>
          <w:sz w:val="20"/>
        </w:rPr>
        <w:t>发言人1：在IDC领域，杨锐锐润德科技表现较为突出。该公司已与国内头部三家云厂商建立合作关系，并在北京、上海周边及广深地区拥有园区级数据中心布局，规模大、能耗储备充足。此外，公司在香港也有布局，并在海南区域进行了相应的部署。基于这些优势，我们首推问责（即润德科技）。</w:t>
      </w:r>
    </w:p>
    <w:p>
      <w:r>
        <w:rPr>
          <w:rFonts w:ascii="等线(中文正文)" w:hAnsi="等线(中文正文)" w:cs="等线(中文正文)" w:eastAsia="等线(中文正文)"/>
          <w:b w:val="false"/>
          <w:i w:val="false"/>
          <w:sz w:val="20"/>
        </w:rPr>
        <w:t/>
      </w:r>
    </w:p>
    <w:p>
      <w:pPr>
        <w:pStyle w:val="ab"/>
      </w:pPr>
      <w:r>
        <w:t>为什么IDC行业的商业模式在过去常被吐槽，但在需求旺盛时会有所改观？</w:t>
      </w:r>
    </w:p>
    <w:p>
      <w:r>
        <w:rPr>
          <w:rFonts w:ascii="等线(中文正文)" w:hAnsi="等线(中文正文)" w:cs="等线(中文正文)" w:eastAsia="等线(中文正文)"/>
          <w:b w:val="false"/>
          <w:i w:val="false"/>
          <w:sz w:val="20"/>
        </w:rPr>
        <w:t>发言人1：IDC行业确实是一个重资产行业，当需求不旺盛时，商业模式可能被认为不佳。但一旦需求起来，由于IDC设施扩展相对滞后且周期较长，一旦需求旺盛且持续时间较长，就容易出现涨价现象。上一次周期中，零售环节已经出现涨价情况，如果需求持续一个季度以上，集采的大客户也可能出现涨价。所以，我们看好具备卡位优势且能有效应对需求变化的IDC公司，如华丰、烽火和润泽等。</w:t>
      </w:r>
    </w:p>
    <w:p>
      <w:r>
        <w:rPr>
          <w:rFonts w:ascii="等线(中文正文)" w:hAnsi="等线(中文正文)" w:cs="等线(中文正文)" w:eastAsia="等线(中文正文)"/>
          <w:b w:val="false"/>
          <w:i w:val="false"/>
          <w:sz w:val="20"/>
        </w:rPr>
        <w:t/>
      </w:r>
    </w:p>
    <w:p>
      <w:pPr>
        <w:pStyle w:val="ab"/>
      </w:pPr>
      <w:r>
        <w:t>对于AI应用在传媒领域的细分赛道，你们有什么看法和推荐？</w:t>
      </w:r>
    </w:p>
    <w:p>
      <w:r>
        <w:rPr>
          <w:rFonts w:ascii="等线(中文正文)" w:hAnsi="等线(中文正文)" w:cs="等线(中文正文)" w:eastAsia="等线(中文正文)"/>
          <w:b w:val="false"/>
          <w:i w:val="false"/>
          <w:sz w:val="20"/>
        </w:rPr>
        <w:t>发言人1：我们非常看好AI应用在传媒领域的细分赛道，尤其是AI慢剧这一细分领域。目前市场认知相对不足，但该领域的发展速度非常快，变现方式从token计算计价到传导到上游景气度形成闭环，整体行业规模增长迅速。通过估算日漫剧广告投流消耗来推算行业规模，今年预计会超过400亿，相较于去年全年150到160亿的水平，增长显著。此外，多模态技术今年迭代频繁，包括谷歌、快手等国内外公司都在推出新的模型，这将对整个板块关注度和催化作用持续有效。</w:t>
      </w:r>
    </w:p>
    <w:p>
      <w:r>
        <w:rPr>
          <w:rFonts w:ascii="等线(中文正文)" w:hAnsi="等线(中文正文)" w:cs="等线(中文正文)" w:eastAsia="等线(中文正文)"/>
          <w:b w:val="false"/>
          <w:i w:val="false"/>
          <w:sz w:val="20"/>
        </w:rPr>
        <w:t/>
      </w:r>
    </w:p>
    <w:p>
      <w:pPr>
        <w:pStyle w:val="ab"/>
      </w:pPr>
      <w:r>
        <w:t>AI应用产业链可以分为哪四个环节？哪些环节更具投资价值？</w:t>
      </w:r>
    </w:p>
    <w:p>
      <w:r>
        <w:rPr>
          <w:rFonts w:ascii="等线(中文正文)" w:hAnsi="等线(中文正文)" w:cs="等线(中文正文)" w:eastAsia="等线(中文正文)"/>
          <w:b w:val="false"/>
          <w:i w:val="false"/>
          <w:sz w:val="20"/>
        </w:rPr>
        <w:t>发言人1：AI应用产业链分为四个环节：上游是IP方，如各类文学作品和影视内容提供商；第二个环节是工具侧，如自感、快手等平台；第三个环节是制作侧，涉及众多上市公司和非上市公司；第四个环节是下游平台，如字节跳动、快手、B站以及腾讯等。对于投资价值，我们更推荐产业链两端，即上游具备独特IP资源和下游具有强大内容分发能力的平台，如掌阅、快手和B站，因为它们在行业增长中确定性较高，受竞争格局影响较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2026-04-26T23:51:53Z</dcterms:created>
  <dc:creator>Apache POI</dc:creator>
</cp:coreProperties>
</file>