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伟明环保 260420_导读</w:t>
      </w:r>
    </w:p>
    <w:p>
      <w:pPr>
        <w:pStyle w:val="a0"/>
        <w:jc w:val="center"/>
      </w:pPr>
      <w:r>
        <w:t>2026年04月27日 07:44</w:t>
      </w:r>
    </w:p>
    <w:p>
      <w:pPr>
        <w:pStyle w:val="a7"/>
      </w:pPr>
      <w:r>
        <w:t>关键词</w:t>
      </w:r>
    </w:p>
    <w:p>
      <w:r>
        <w:rPr>
          <w:rFonts w:ascii="等线(中文正文)" w:hAnsi="等线(中文正文)" w:cs="等线(中文正文)" w:eastAsia="等线(中文正文)"/>
          <w:b w:val="false"/>
          <w:i w:val="false"/>
          <w:sz w:val="20"/>
        </w:rPr>
        <w:t xml:space="preserve">海外加盟项目 环保业务 炉渣处理设施 应收账款 装备集团 研发投入 现金流 负债率 新材料 毛利率 订单 产能 营收 利润 垃圾处理费 在建工程 财务费用 装备订单 会计政策 出货量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上市公司副总裁、财务总监及董事会秘书与投资者及四大证券公司代表深入交流，讨论公司财务、项目与战略。公司展现了技术创新与成本控制的核心，特别强调了海外加盟项目和环保业务的突破，以及在装备业务、新材料和垃圾焚烧发电领域的布局。面对投资者对业绩、财务、项目进度及未来的提问，管理层一一解答，彰显了公司稳健运营及发展前景的信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公司2025年海外项目与环保业务重大突破</w:t>
      </w:r>
    </w:p>
    <w:p>
      <w:r>
        <w:rPr>
          <w:rFonts w:ascii="等线(中文正文)" w:hAnsi="等线(中文正文)" w:cs="等线(中文正文)" w:eastAsia="等线(中文正文)"/>
          <w:b w:val="false"/>
          <w:i w:val="false"/>
          <w:sz w:val="20"/>
        </w:rPr>
        <w:t>会议介绍了公司在2025年实现的两大突破：一是海外加盟项目稳定投入生产，产品产能提升，营收和盈利显著；二是海外环保业务布局取得重大进展，参与印尼垃圾发电项目，覆盖人口众多区域，为未来业务发展奠定基础。这些成就体现了公司持续投入和战略部署的重要性。</w:t>
      </w:r>
    </w:p>
    <w:p>
      <w:r>
        <w:rPr>
          <w:rFonts w:ascii="等线(中文正文)" w:hAnsi="等线(中文正文)" w:cs="等线(中文正文)" w:eastAsia="等线(中文正文)"/>
          <w:b w:val="false"/>
          <w:i w:val="false"/>
          <w:sz w:val="20"/>
        </w:rPr>
        <w:t/>
      </w:r>
    </w:p>
    <w:p>
      <w:pPr>
        <w:pStyle w:val="ab"/>
        <w:numPr>
          <w:numId w:val="2"/>
        </w:numPr>
      </w:pPr>
      <w:r>
        <w:t>03:41 2025年环保集团经营稳健及创新高</w:t>
      </w:r>
    </w:p>
    <w:p>
      <w:r>
        <w:rPr>
          <w:rFonts w:ascii="等线(中文正文)" w:hAnsi="等线(中文正文)" w:cs="等线(中文正文)" w:eastAsia="等线(中文正文)"/>
          <w:b w:val="false"/>
          <w:i w:val="false"/>
          <w:sz w:val="20"/>
        </w:rPr>
        <w:t>2025年环保集团经营情况稳健，垃圾焚烧发电产能创新高，全年垃圾处理流量和上网电量均创新高，期末投资项目达到56个，仓储项目22个。自建下游炉渣处理设施提高附加值，拓展外控蒸汽市场，取得良好进展，如温州林江、龙岗和永强项目，解决周边工业企业的燃煤炉供蒸汽问题，推动节能减排。垃圾处理费调价逐步推进，应收账款回款情况良好，公司资金回收2.23亿。考核管理与激励机制结合，推动压缩应收账款规模，全年取得一定成效。</w:t>
      </w:r>
    </w:p>
    <w:p>
      <w:r>
        <w:rPr>
          <w:rFonts w:ascii="等线(中文正文)" w:hAnsi="等线(中文正文)" w:cs="等线(中文正文)" w:eastAsia="等线(中文正文)"/>
          <w:b w:val="false"/>
          <w:i w:val="false"/>
          <w:sz w:val="20"/>
        </w:rPr>
        <w:t/>
      </w:r>
    </w:p>
    <w:p>
      <w:pPr>
        <w:pStyle w:val="ab"/>
        <w:numPr>
          <w:numId w:val="3"/>
        </w:numPr>
      </w:pPr>
      <w:r>
        <w:t>06:35 装备集团订单与营收分析及未来展望</w:t>
      </w:r>
    </w:p>
    <w:p>
      <w:r>
        <w:rPr>
          <w:rFonts w:ascii="等线(中文正文)" w:hAnsi="等线(中文正文)" w:cs="等线(中文正文)" w:eastAsia="等线(中文正文)"/>
          <w:b w:val="false"/>
          <w:i w:val="false"/>
          <w:sz w:val="20"/>
        </w:rPr>
        <w:t>对话回顾了装备集团过去几年的订单和营收情况，指出2023年是订单大年，但2024年营收由2023年订单推动，2025年订单虽增加但落地节奏慢，导致营收下滑。集团正通过加大研发投入、优化业务结构应对挑战，同时，新闻集团的业务和伟明盛兴项目也取得了进展。</w:t>
      </w:r>
    </w:p>
    <w:p>
      <w:r>
        <w:rPr>
          <w:rFonts w:ascii="等线(中文正文)" w:hAnsi="等线(中文正文)" w:cs="等线(中文正文)" w:eastAsia="等线(中文正文)"/>
          <w:b w:val="false"/>
          <w:i w:val="false"/>
          <w:sz w:val="20"/>
        </w:rPr>
        <w:t/>
      </w:r>
    </w:p>
    <w:p>
      <w:pPr>
        <w:pStyle w:val="ab"/>
        <w:numPr>
          <w:numId w:val="4"/>
        </w:numPr>
      </w:pPr>
      <w:r>
        <w:t>10:53 公司年度经营与财务状况汇报</w:t>
      </w:r>
    </w:p>
    <w:p>
      <w:r>
        <w:rPr>
          <w:rFonts w:ascii="等线(中文正文)" w:hAnsi="等线(中文正文)" w:cs="等线(中文正文)" w:eastAsia="等线(中文正文)"/>
          <w:b w:val="false"/>
          <w:i w:val="false"/>
          <w:sz w:val="20"/>
        </w:rPr>
        <w:t>对话围绕公司去年的经营和财务状况展开，重点介绍了营收、现金流、负债率等关键指标，以及三个主要业务板块的运营情况。公司去年实现了16.7亿的营收，其中三个业务板块表现突出，尤其是项目运营板块营收创新高，毛利率达到62%。装备ETC服务板块营收占比虽下降，但整体毛利率仍有所提升。新材料板块实现4.2亿营收，毛利率达到15%。公司还强调了良好的现金流管理，年末现金达到30多个亿，负债率降至43.94%，并计划加大股东回报。此外，应收账款成功压缩，财务费用控制理想，体现了公司稳健的经营策略和财务健康。</w:t>
      </w:r>
    </w:p>
    <w:p>
      <w:r>
        <w:rPr>
          <w:rFonts w:ascii="等线(中文正文)" w:hAnsi="等线(中文正文)" w:cs="等线(中文正文)" w:eastAsia="等线(中文正文)"/>
          <w:b w:val="false"/>
          <w:i w:val="false"/>
          <w:sz w:val="20"/>
        </w:rPr>
        <w:t/>
      </w:r>
    </w:p>
    <w:p>
      <w:pPr>
        <w:pStyle w:val="ab"/>
        <w:numPr>
          <w:numId w:val="5"/>
        </w:numPr>
      </w:pPr>
      <w:r>
        <w:t>16:15 公司设备订单与营收波动分析</w:t>
      </w:r>
    </w:p>
    <w:p>
      <w:r>
        <w:rPr>
          <w:rFonts w:ascii="等线(中文正文)" w:hAnsi="等线(中文正文)" w:cs="等线(中文正文)" w:eastAsia="等线(中文正文)"/>
          <w:b w:val="false"/>
          <w:i w:val="false"/>
          <w:sz w:val="20"/>
        </w:rPr>
        <w:t>对话围绕公司设备业务展开，讨论了前三季度与全年营收利润的差异，指出装备订单执行进度不达预期及会计政策调整是主要原因。展望2026年，预计设备订单将受去年订单执行及海外项目影响，毛利率下降归因于价格条件波动。当前在手订单为未来设备业务奠定基础，尤其是印尼固废项目的增量。</w:t>
      </w:r>
    </w:p>
    <w:p>
      <w:r>
        <w:rPr>
          <w:rFonts w:ascii="等线(中文正文)" w:hAnsi="等线(中文正文)" w:cs="等线(中文正文)" w:eastAsia="等线(中文正文)"/>
          <w:b w:val="false"/>
          <w:i w:val="false"/>
          <w:sz w:val="20"/>
        </w:rPr>
        <w:t/>
      </w:r>
    </w:p>
    <w:p>
      <w:pPr>
        <w:pStyle w:val="ab"/>
        <w:numPr>
          <w:numId w:val="6"/>
        </w:numPr>
      </w:pPr>
      <w:r>
        <w:t>21:48 新材料项目2023年出货量与盈利分析</w:t>
      </w:r>
    </w:p>
    <w:p>
      <w:r>
        <w:rPr>
          <w:rFonts w:ascii="等线(中文正文)" w:hAnsi="等线(中文正文)" w:cs="等线(中文正文)" w:eastAsia="等线(中文正文)"/>
          <w:b w:val="false"/>
          <w:i w:val="false"/>
          <w:sz w:val="20"/>
        </w:rPr>
        <w:t>对话讨论了新材料项目2023年的出货量与盈利情况，包括高端面和创新领域的收入与利润。全年夜晚对外销售量达1.15万吨，金属断面出货量约6050吨，销售金额7295万美元。连续生产天数超过365天的有两台芦一号炉，两号炉超过250天，产能瓶颈在于原料预测。毛利率约1500元/吨，印尼计价公式调整对盈利有影响，但上游原料稳定供给保障了生产。重庆项目部分设备折旧，加盟项目自去年年底开始折旧。青山园区的江北项目处于试生产阶段，预计产能提升后成本测算将更精准。</w:t>
      </w:r>
    </w:p>
    <w:p>
      <w:r>
        <w:rPr>
          <w:rFonts w:ascii="等线(中文正文)" w:hAnsi="等线(中文正文)" w:cs="等线(中文正文)" w:eastAsia="等线(中文正文)"/>
          <w:b w:val="false"/>
          <w:i w:val="false"/>
          <w:sz w:val="20"/>
        </w:rPr>
        <w:t/>
      </w:r>
    </w:p>
    <w:p>
      <w:pPr>
        <w:pStyle w:val="ab"/>
        <w:numPr>
          <w:numId w:val="7"/>
        </w:numPr>
      </w:pPr>
      <w:r>
        <w:t>25:44 印尼矿产价格波动与生产工艺成本分析</w:t>
      </w:r>
    </w:p>
    <w:p>
      <w:r>
        <w:rPr>
          <w:rFonts w:ascii="等线(中文正文)" w:hAnsi="等线(中文正文)" w:cs="等线(中文正文)" w:eastAsia="等线(中文正文)"/>
          <w:b w:val="false"/>
          <w:i w:val="false"/>
          <w:sz w:val="20"/>
        </w:rPr>
        <w:t>讨论了印尼矿产价格受政策影响上涨，以及特定生产工艺在成本控制上的优势。提及浙江省内环保改造项目进展，强调超低排放技改时间表，及公司装备升级的提前布局策略。</w:t>
      </w:r>
    </w:p>
    <w:p>
      <w:r>
        <w:rPr>
          <w:rFonts w:ascii="等线(中文正文)" w:hAnsi="等线(中文正文)" w:cs="等线(中文正文)" w:eastAsia="等线(中文正文)"/>
          <w:b w:val="false"/>
          <w:i w:val="false"/>
          <w:sz w:val="20"/>
        </w:rPr>
        <w:t/>
      </w:r>
    </w:p>
    <w:p>
      <w:pPr>
        <w:pStyle w:val="ab"/>
        <w:numPr>
          <w:numId w:val="8"/>
        </w:numPr>
      </w:pPr>
      <w:r>
        <w:t>30:00 浙江股超市标准与装备收入确认及海外项目拓展</w:t>
      </w:r>
    </w:p>
    <w:p>
      <w:r>
        <w:rPr>
          <w:rFonts w:ascii="等线(中文正文)" w:hAnsi="等线(中文正文)" w:cs="等线(中文正文)" w:eastAsia="等线(中文正文)"/>
          <w:b w:val="false"/>
          <w:i w:val="false"/>
          <w:sz w:val="20"/>
        </w:rPr>
        <w:t>讨论了浙江股超市高标准的垃圾发电超低排放标准，以及装备收入确认的会计政策和商业条件谈判的重要性。提及未确认收入可能受突发性事件影响，以及加强项目前期工作以促进收入确认。同时，探讨了海外东南亚大型粉康项目开标预期时间与量的判断，以及项目成本增加对投资的影响，强调了新工艺研发投入带来的成本挑战。</w:t>
      </w:r>
    </w:p>
    <w:p>
      <w:r>
        <w:rPr>
          <w:rFonts w:ascii="等线(中文正文)" w:hAnsi="等线(中文正文)" w:cs="等线(中文正文)" w:eastAsia="等线(中文正文)"/>
          <w:b w:val="false"/>
          <w:i w:val="false"/>
          <w:sz w:val="20"/>
        </w:rPr>
        <w:t/>
      </w:r>
    </w:p>
    <w:p>
      <w:pPr>
        <w:pStyle w:val="ab"/>
        <w:numPr>
          <w:numId w:val="9"/>
        </w:numPr>
      </w:pPr>
      <w:r>
        <w:t>34:40 印尼垃圾焚烧项目财务模型与收入确认探讨</w:t>
      </w:r>
    </w:p>
    <w:p>
      <w:r>
        <w:rPr>
          <w:rFonts w:ascii="等线(中文正文)" w:hAnsi="等线(中文正文)" w:cs="等线(中文正文)" w:eastAsia="等线(中文正文)"/>
          <w:b w:val="false"/>
          <w:i w:val="false"/>
          <w:sz w:val="20"/>
        </w:rPr>
        <w:t>对话围绕印尼垃圾焚烧项目的财务模型展开，对比国内项目盈利能力，指出印尼项目每吨垃圾收入可达六七百人民币，远高于国内的250到300元。讨论了四季度营收低的原因，涉及建设进度与会计处理。同时，探讨了印尼项目收入确认的会计处理，强调需符合双控制双特征，并指出目前尚在与会计师沟通具体条款。</w:t>
      </w:r>
    </w:p>
    <w:p>
      <w:r>
        <w:rPr>
          <w:rFonts w:ascii="等线(中文正文)" w:hAnsi="等线(中文正文)" w:cs="等线(中文正文)" w:eastAsia="等线(中文正文)"/>
          <w:b w:val="false"/>
          <w:i w:val="false"/>
          <w:sz w:val="20"/>
        </w:rPr>
        <w:t/>
      </w:r>
    </w:p>
    <w:p>
      <w:pPr>
        <w:pStyle w:val="ab"/>
        <w:numPr>
          <w:numId w:val="10"/>
        </w:numPr>
      </w:pPr>
      <w:r>
        <w:t>37:47 海外项目推进与本土化生产规划</w:t>
      </w:r>
    </w:p>
    <w:p>
      <w:r>
        <w:rPr>
          <w:rFonts w:ascii="等线(中文正文)" w:hAnsi="等线(中文正文)" w:cs="等线(中文正文)" w:eastAsia="等线(中文正文)"/>
          <w:b w:val="false"/>
          <w:i w:val="false"/>
          <w:sz w:val="20"/>
        </w:rPr>
        <w:t>项目部已在巴厘岛和雅加达成立，团队成员驻场工作。印尼总部公司设立，以全面管理海外项目，包括智能生产厂的推进。新材料项目及环保项目正在筹备中，计划在印尼实现装备本地化生产，与当地工业园区交流购地事宜，以发挥本土制造优势。</w:t>
      </w:r>
    </w:p>
    <w:p>
      <w:r>
        <w:rPr>
          <w:rFonts w:ascii="等线(中文正文)" w:hAnsi="等线(中文正文)" w:cs="等线(中文正文)" w:eastAsia="等线(中文正文)"/>
          <w:b w:val="false"/>
          <w:i w:val="false"/>
          <w:sz w:val="20"/>
        </w:rPr>
        <w:t/>
      </w:r>
    </w:p>
    <w:p>
      <w:pPr>
        <w:pStyle w:val="ab"/>
        <w:numPr>
          <w:numId w:val="11"/>
        </w:numPr>
      </w:pPr>
      <w:r>
        <w:t>39:16 印尼垃圾处理项目进展与支持措施</w:t>
      </w:r>
    </w:p>
    <w:p>
      <w:r>
        <w:rPr>
          <w:rFonts w:ascii="等线(中文正文)" w:hAnsi="等线(中文正文)" w:cs="等线(中文正文)" w:eastAsia="等线(中文正文)"/>
          <w:b w:val="false"/>
          <w:i w:val="false"/>
          <w:sz w:val="20"/>
        </w:rPr>
        <w:t>讨论了印尼垃圾处理项目的建设进度，目标于2027年完成，旨在成为现代化城市标杆。项目规模超过欧盟标准，前期准备工作已就绪，包括设备采购和审批流程。浙江省政府提供环保补助和国债资金支持，以降低投资成本。通过上调垃圾收费和延长经营周期等方式，计划补偿项目投入，确保工程顺利进行。</w:t>
      </w:r>
    </w:p>
    <w:p>
      <w:r>
        <w:rPr>
          <w:rFonts w:ascii="等线(中文正文)" w:hAnsi="等线(中文正文)" w:cs="等线(中文正文)" w:eastAsia="等线(中文正文)"/>
          <w:b w:val="false"/>
          <w:i w:val="false"/>
          <w:sz w:val="20"/>
        </w:rPr>
        <w:t/>
      </w:r>
    </w:p>
    <w:p>
      <w:pPr>
        <w:pStyle w:val="ab"/>
        <w:numPr>
          <w:numId w:val="12"/>
        </w:numPr>
      </w:pPr>
      <w:r>
        <w:t>42:19 一季度业绩预告与装备确认方式讨论</w:t>
      </w:r>
    </w:p>
    <w:p>
      <w:r>
        <w:rPr>
          <w:rFonts w:ascii="等线(中文正文)" w:hAnsi="等线(中文正文)" w:cs="等线(中文正文)" w:eastAsia="等线(中文正文)"/>
          <w:b w:val="false"/>
          <w:i w:val="false"/>
          <w:sz w:val="20"/>
        </w:rPr>
        <w:t>对话围绕一季度业绩预告及装备确认方式进行探讨，提及装备确认将延续年度判断，但具体数据受项目进度和外部条件影响未定。CM2业务稳定，重点在于三号线投运对产能提升的预期；维维正兴一季度经济情况良好，因高面价和低成本原料采购。投资者对一季度装备分布和技术性问题进行询问，交流会最终圆满结束。</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主持并介绍了本次会议的主要内容，邀请了陈峰总分享公司经营状况和未来发展规划。会议由兴业证券等四家券商联合承办，聚焦于公司经营业绩、未来方向的交流。他回顾了公司过去几年在海外加盟项目和环保业务上的持续投资与成就，强调了2025年预期的重大营收与盈利增长，以及通过创新与协同降低生产成本的成果。同时，面对装备集团营收利润下滑的挑战，他提到了改善措施。此外，他还详细介绍了公司年报，分享了具体的财务数据、经营策略，并对投资者问题进行了回应，彰显了公司对股东回报和未来发展的明确规划与策略。</w:t>
      </w:r>
    </w:p>
    <w:p>
      <w:r>
        <w:rPr>
          <w:rFonts w:ascii="等线(中文正文)" w:hAnsi="等线(中文正文)" w:cs="等线(中文正文)" w:eastAsia="等线(中文正文)"/>
          <w:b w:val="false"/>
          <w:i w:val="false"/>
          <w:sz w:val="20"/>
        </w:rPr>
        <w:t/>
      </w:r>
    </w:p>
    <w:p>
      <w:pPr>
        <w:pStyle w:val="a7"/>
      </w:pPr>
      <w:r>
        <w:t>要点回顾</w:t>
      </w:r>
    </w:p>
    <w:p>
      <w:pPr>
        <w:pStyle w:val="ab"/>
      </w:pPr>
      <w:r>
        <w:t>陈总，能否先介绍下公司在2025年的一些重要情况变化？</w:t>
      </w:r>
    </w:p>
    <w:p>
      <w:r>
        <w:rPr>
          <w:rFonts w:ascii="等线(中文正文)" w:hAnsi="等线(中文正文)" w:cs="等线(中文正文)" w:eastAsia="等线(中文正文)"/>
          <w:b w:val="false"/>
          <w:i w:val="false"/>
          <w:sz w:val="20"/>
        </w:rPr>
        <w:t>发言人1：好的，2025年我们公司有两个重大突破。首先，海外加盟项目实现了稳定投入和生产，产出的产品每个季度产能都在提升，国内证券项目生产情况也非常良好。这两个项目去年在新城金融数据上都实现了营收和盈利，尤其是在材料行业价格较低的情况下，通过工艺创新和上下游协同布局，我们在短时间内完成了两个项目的建设，生产成本控制得不错。</w:t>
      </w:r>
    </w:p>
    <w:p>
      <w:r>
        <w:rPr>
          <w:rFonts w:ascii="等线(中文正文)" w:hAnsi="等线(中文正文)" w:cs="等线(中文正文)" w:eastAsia="等线(中文正文)"/>
          <w:b w:val="false"/>
          <w:i w:val="false"/>
          <w:sz w:val="20"/>
        </w:rPr>
        <w:t/>
      </w:r>
    </w:p>
    <w:p>
      <w:pPr>
        <w:pStyle w:val="ab"/>
      </w:pPr>
      <w:r>
        <w:t>第二个突破是指什么业务领域呢？</w:t>
      </w:r>
    </w:p>
    <w:p>
      <w:r>
        <w:rPr>
          <w:rFonts w:ascii="等线(中文正文)" w:hAnsi="等线(中文正文)" w:cs="等线(中文正文)" w:eastAsia="等线(中文正文)"/>
          <w:b w:val="false"/>
          <w:i w:val="false"/>
          <w:sz w:val="20"/>
        </w:rPr>
        <w:t>发言人1：第二个突破是海外环保业务布局取得了重大进展。我跟踪这个项目七八年了，从跟踪环保项目到先布局材料项目，并与当地政府企业建立了良好的联系，推动了印尼垃圾发电政策的出台。去年下半年启动招投标工作后，我们在今年三季度顺利落地了两个项目，目前官宣的是三个项目，已经有两个项目成功实施，这在印尼当地人口规模较大的城市进行的重点项目布局，标志着未来发展的良好开端。</w:t>
      </w:r>
    </w:p>
    <w:p>
      <w:r>
        <w:rPr>
          <w:rFonts w:ascii="等线(中文正文)" w:hAnsi="等线(中文正文)" w:cs="等线(中文正文)" w:eastAsia="等线(中文正文)"/>
          <w:b w:val="false"/>
          <w:i w:val="false"/>
          <w:sz w:val="20"/>
        </w:rPr>
        <w:t/>
      </w:r>
    </w:p>
    <w:p>
      <w:pPr>
        <w:pStyle w:val="ab"/>
      </w:pPr>
      <w:r>
        <w:t>总公司的经营情况如何？</w:t>
      </w:r>
    </w:p>
    <w:p>
      <w:r>
        <w:rPr>
          <w:rFonts w:ascii="等线(中文正文)" w:hAnsi="等线(中文正文)" w:cs="等线(中文正文)" w:eastAsia="等线(中文正文)"/>
          <w:b w:val="false"/>
          <w:i w:val="false"/>
          <w:sz w:val="20"/>
        </w:rPr>
        <w:t>发言人1：2025年总体来看，公司的经营情况非常稳健。国内垃圾焚烧发电板块产能创新高，全年垃圾处理流量和上网电量均达历史新高，期末投资的项目达到56个，仓储项目有22个。我们在环保板块加大投入，自建下游炉渣处理设施以提高附加值，同时拓展现有项目的对外空蒸汽供应，取得显著进展。此外，通过提升垃圾处理费以及应收款回款情况，公司的整体财务状况扎实稳健。</w:t>
      </w:r>
    </w:p>
    <w:p>
      <w:r>
        <w:rPr>
          <w:rFonts w:ascii="等线(中文正文)" w:hAnsi="等线(中文正文)" w:cs="等线(中文正文)" w:eastAsia="等线(中文正文)"/>
          <w:b w:val="false"/>
          <w:i w:val="false"/>
          <w:sz w:val="20"/>
        </w:rPr>
        <w:t/>
      </w:r>
    </w:p>
    <w:p>
      <w:pPr>
        <w:pStyle w:val="ab"/>
      </w:pPr>
      <w:r>
        <w:t>装备集团去年的营收利润情况如何？</w:t>
      </w:r>
    </w:p>
    <w:p>
      <w:r>
        <w:rPr>
          <w:rFonts w:ascii="等线(中文正文)" w:hAnsi="等线(中文正文)" w:cs="等线(中文正文)" w:eastAsia="等线(中文正文)"/>
          <w:b w:val="false"/>
          <w:i w:val="false"/>
          <w:sz w:val="20"/>
        </w:rPr>
        <w:t>发言人1：装备集团去年营收利润有所下滑，主要是受到业务的影响。尽管全年订单总额达到46.35亿元，但执行速度未达预期。订单主要来源于新闻车展项目、公司内部环保业务改造项目，以及为其他企业提供设备和服务的相关项目。新材料方面也有订单，包括格林美、中伟等企业的订单，以及盛兴项目的建设也带来了订单。不过，整体而言，由于客户更加分散，订单相对分散，导致营收利润有所下滑。</w:t>
      </w:r>
    </w:p>
    <w:p>
      <w:r>
        <w:rPr>
          <w:rFonts w:ascii="等线(中文正文)" w:hAnsi="等线(中文正文)" w:cs="等线(中文正文)" w:eastAsia="等线(中文正文)"/>
          <w:b w:val="false"/>
          <w:i w:val="false"/>
          <w:sz w:val="20"/>
        </w:rPr>
        <w:t/>
      </w:r>
    </w:p>
    <w:p>
      <w:pPr>
        <w:pStyle w:val="ab"/>
      </w:pPr>
      <w:r>
        <w:t>在2023年，你们的订单情况如何？</w:t>
      </w:r>
    </w:p>
    <w:p>
      <w:r>
        <w:rPr>
          <w:rFonts w:ascii="等线(中文正文)" w:hAnsi="等线(中文正文)" w:cs="等线(中文正文)" w:eastAsia="等线(中文正文)"/>
          <w:b w:val="false"/>
          <w:i w:val="false"/>
          <w:sz w:val="20"/>
        </w:rPr>
        <w:t>发言人1：2023年是我们一个订单大年，披露的装备订单总额为35亿。尽管当年实现了29亿的装备收入，但订单的落地存在一定的滞后性，意味着未全部实现。</w:t>
      </w:r>
    </w:p>
    <w:p>
      <w:r>
        <w:rPr>
          <w:rFonts w:ascii="等线(中文正文)" w:hAnsi="等线(中文正文)" w:cs="等线(中文正文)" w:eastAsia="等线(中文正文)"/>
          <w:b w:val="false"/>
          <w:i w:val="false"/>
          <w:sz w:val="20"/>
        </w:rPr>
        <w:t/>
      </w:r>
    </w:p>
    <w:p>
      <w:pPr>
        <w:pStyle w:val="ab"/>
      </w:pPr>
      <w:r>
        <w:t>2024年的订单和营收情况怎样？今年（2025年）订单和营收的预期如何？</w:t>
      </w:r>
    </w:p>
    <w:p>
      <w:r>
        <w:rPr>
          <w:rFonts w:ascii="等线(中文正文)" w:hAnsi="等线(中文正文)" w:cs="等线(中文正文)" w:eastAsia="等线(中文正文)"/>
          <w:b w:val="false"/>
          <w:i w:val="false"/>
          <w:sz w:val="20"/>
        </w:rPr>
        <w:t>发言人1：2024年的推动订单数为31.7亿，而当年的装备营收达到了37.59亿。这表明2024年的营收主要由2023年的订单来支撑。今年（2025年）的订单数预计会减少，主要是因为24年订单的落地节奏不如23年，同时今年需要执行部分25年内未完成的订单。此外，今年在装备业务方面的人数会面临压力。</w:t>
      </w:r>
    </w:p>
    <w:p>
      <w:r>
        <w:rPr>
          <w:rFonts w:ascii="等线(中文正文)" w:hAnsi="等线(中文正文)" w:cs="等线(中文正文)" w:eastAsia="等线(中文正文)"/>
          <w:b w:val="false"/>
          <w:i w:val="false"/>
          <w:sz w:val="20"/>
        </w:rPr>
        <w:t/>
      </w:r>
    </w:p>
    <w:p>
      <w:pPr>
        <w:pStyle w:val="ab"/>
      </w:pPr>
      <w:r>
        <w:t>在研发投入方面有何变化？</w:t>
      </w:r>
    </w:p>
    <w:p>
      <w:r>
        <w:rPr>
          <w:rFonts w:ascii="等线(中文正文)" w:hAnsi="等线(中文正文)" w:cs="等线(中文正文)" w:eastAsia="等线(中文正文)"/>
          <w:b w:val="false"/>
          <w:i w:val="false"/>
          <w:sz w:val="20"/>
        </w:rPr>
        <w:t>发言人1：今年（2025年）我们加强了研发团队管理，研发投入达到了历史新高，去年为11.3亿。在研发方向上，我们关注机械、质控与人工智能结合等领域，并致力于通过建设专业系统如调查机器人实现零售业务的自动化控制。</w:t>
      </w:r>
    </w:p>
    <w:p>
      <w:r>
        <w:rPr>
          <w:rFonts w:ascii="等线(中文正文)" w:hAnsi="等线(中文正文)" w:cs="等线(中文正文)" w:eastAsia="等线(中文正文)"/>
          <w:b w:val="false"/>
          <w:i w:val="false"/>
          <w:sz w:val="20"/>
        </w:rPr>
        <w:t/>
      </w:r>
    </w:p>
    <w:p>
      <w:pPr>
        <w:pStyle w:val="ab"/>
      </w:pPr>
      <w:r>
        <w:t>关于装备业务的规模扩大和其他进展如何？</w:t>
      </w:r>
    </w:p>
    <w:p>
      <w:r>
        <w:rPr>
          <w:rFonts w:ascii="等线(中文正文)" w:hAnsi="等线(中文正文)" w:cs="等线(中文正文)" w:eastAsia="等线(中文正文)"/>
          <w:b w:val="false"/>
          <w:i w:val="false"/>
          <w:sz w:val="20"/>
        </w:rPr>
        <w:t>发言人1：目前我们已取得杜山园区的土地使用权，并加强了环保业务智能防盗控制系统的研发。同时，我们也取得了工信部认定的专精特新小巨人称号，专利数量有所增长，且伟明盛兴的2.5万吨电解镍项目已稳定生产，还有新的产能正在调试中。</w:t>
      </w:r>
    </w:p>
    <w:p>
      <w:r>
        <w:rPr>
          <w:rFonts w:ascii="等线(中文正文)" w:hAnsi="等线(中文正文)" w:cs="等线(中文正文)" w:eastAsia="等线(中文正文)"/>
          <w:b w:val="false"/>
          <w:i w:val="false"/>
          <w:sz w:val="20"/>
        </w:rPr>
        <w:t/>
      </w:r>
    </w:p>
    <w:p>
      <w:pPr>
        <w:pStyle w:val="ab"/>
      </w:pPr>
      <w:r>
        <w:t>上市公司去年的经营及财务状况如何？</w:t>
      </w:r>
    </w:p>
    <w:p>
      <w:r>
        <w:rPr>
          <w:rFonts w:ascii="等线(中文正文)" w:hAnsi="等线(中文正文)" w:cs="等线(中文正文)" w:eastAsia="等线(中文正文)"/>
          <w:b w:val="false"/>
          <w:i w:val="false"/>
          <w:sz w:val="20"/>
        </w:rPr>
        <w:t>发言人1：去年整个振兴板块实现营收16.7亿，虽然未包含在上市公司体内，但若加上则上市公司营收实现增长。全年费用控制正常，现金流情况非常好，经营活动产生的现金流同比增加37%，期末现金达到三十多个亿。此外，公司还提高了股东回报，每十股派六元，并保持了较高的分红比例和较低的负债率（43.94%）。</w:t>
      </w:r>
    </w:p>
    <w:p>
      <w:r>
        <w:rPr>
          <w:rFonts w:ascii="等线(中文正文)" w:hAnsi="等线(中文正文)" w:cs="等线(中文正文)" w:eastAsia="等线(中文正文)"/>
          <w:b w:val="false"/>
          <w:i w:val="false"/>
          <w:sz w:val="20"/>
        </w:rPr>
        <w:t/>
      </w:r>
    </w:p>
    <w:p>
      <w:pPr>
        <w:pStyle w:val="ab"/>
      </w:pPr>
      <w:r>
        <w:t>各业务板块的具体经营情况怎样？</w:t>
      </w:r>
    </w:p>
    <w:p>
      <w:r>
        <w:rPr>
          <w:rFonts w:ascii="等线(中文正文)" w:hAnsi="等线(中文正文)" w:cs="等线(中文正文)" w:eastAsia="等线(中文正文)"/>
          <w:b w:val="false"/>
          <w:i w:val="false"/>
          <w:sz w:val="20"/>
        </w:rPr>
        <w:t>发言人1：项目运营板块营收创新高，超过六个亿，毛利率提升至62%；装备ETC服务营收占比有所下降，但毛利率增长；新材料板块营收4.2亿，毛利率15%，销售情况良好。</w:t>
      </w:r>
    </w:p>
    <w:p>
      <w:r>
        <w:rPr>
          <w:rFonts w:ascii="等线(中文正文)" w:hAnsi="等线(中文正文)" w:cs="等线(中文正文)" w:eastAsia="等线(中文正文)"/>
          <w:b w:val="false"/>
          <w:i w:val="false"/>
          <w:sz w:val="20"/>
        </w:rPr>
        <w:t/>
      </w:r>
    </w:p>
    <w:p>
      <w:pPr>
        <w:pStyle w:val="ab"/>
      </w:pPr>
      <w:r>
        <w:t>应收账款方面的管理效果如何？</w:t>
      </w:r>
    </w:p>
    <w:p>
      <w:r>
        <w:rPr>
          <w:rFonts w:ascii="等线(中文正文)" w:hAnsi="等线(中文正文)" w:cs="等线(中文正文)" w:eastAsia="等线(中文正文)"/>
          <w:b w:val="false"/>
          <w:i w:val="false"/>
          <w:sz w:val="20"/>
        </w:rPr>
        <w:t>发言人1：去年年底应收账款贷款成功下降了，从上年的34亿压缩到31.47亿，这是行业内不易的成绩，体现了我们积极回款和控制应收款的策略成效。</w:t>
      </w:r>
    </w:p>
    <w:p>
      <w:r>
        <w:rPr>
          <w:rFonts w:ascii="等线(中文正文)" w:hAnsi="等线(中文正文)" w:cs="等线(中文正文)" w:eastAsia="等线(中文正文)"/>
          <w:b w:val="false"/>
          <w:i w:val="false"/>
          <w:sz w:val="20"/>
        </w:rPr>
        <w:t/>
      </w:r>
    </w:p>
    <w:p>
      <w:pPr>
        <w:pStyle w:val="ab"/>
      </w:pPr>
      <w:r>
        <w:t>在建工程方面，为什么期末出现了增加的情况？公司财务费用控制情况如何？</w:t>
      </w:r>
    </w:p>
    <w:p>
      <w:r>
        <w:rPr>
          <w:rFonts w:ascii="等线(中文正文)" w:hAnsi="等线(中文正文)" w:cs="等线(中文正文)" w:eastAsia="等线(中文正文)"/>
          <w:b w:val="false"/>
          <w:i w:val="false"/>
          <w:sz w:val="20"/>
        </w:rPr>
        <w:t>发言人1：期末在建工程增加主要是由于运营商的项目期末转固导致的。公司财务费用控制情况非常理想，从年末的新数据来看，延续了公司一贯的经营理念并取得了较好的财务数据。</w:t>
      </w:r>
    </w:p>
    <w:p>
      <w:r>
        <w:rPr>
          <w:rFonts w:ascii="等线(中文正文)" w:hAnsi="等线(中文正文)" w:cs="等线(中文正文)" w:eastAsia="等线(中文正文)"/>
          <w:b w:val="false"/>
          <w:i w:val="false"/>
          <w:sz w:val="20"/>
        </w:rPr>
        <w:t/>
      </w:r>
    </w:p>
    <w:p>
      <w:pPr>
        <w:pStyle w:val="ab"/>
      </w:pPr>
      <w:r>
        <w:t>对于公司今年营收利润预期较高的设备业务，为何全年业务表现未达预期？</w:t>
      </w:r>
    </w:p>
    <w:p>
      <w:r>
        <w:rPr>
          <w:rFonts w:ascii="等线(中文正文)" w:hAnsi="等线(中文正文)" w:cs="等线(中文正文)" w:eastAsia="等线(中文正文)"/>
          <w:b w:val="false"/>
          <w:i w:val="false"/>
          <w:sz w:val="20"/>
        </w:rPr>
        <w:t>发言人1：全年业务表现未达前三季度的营收利润预期，主要是因为装备订单的执行进度不达预期，以及财务会计政策适用判断存在差异，导致收入确认的时间延后，四季度营收和利润出现波动。</w:t>
      </w:r>
    </w:p>
    <w:p>
      <w:r>
        <w:rPr>
          <w:rFonts w:ascii="等线(中文正文)" w:hAnsi="等线(中文正文)" w:cs="等线(中文正文)" w:eastAsia="等线(中文正文)"/>
          <w:b w:val="false"/>
          <w:i w:val="false"/>
          <w:sz w:val="20"/>
        </w:rPr>
        <w:t/>
      </w:r>
    </w:p>
    <w:p>
      <w:pPr>
        <w:pStyle w:val="ab"/>
      </w:pPr>
      <w:r>
        <w:t>装备业务在2024年面临的压力是什么？</w:t>
      </w:r>
    </w:p>
    <w:p>
      <w:r>
        <w:rPr>
          <w:rFonts w:ascii="等线(中文正文)" w:hAnsi="等线(中文正文)" w:cs="等线(中文正文)" w:eastAsia="等线(中文正文)"/>
          <w:b w:val="false"/>
          <w:i w:val="false"/>
          <w:sz w:val="20"/>
        </w:rPr>
        <w:t>发言人1：2024年装备业务面临的主要压力在于获取的新订单数量以及订单执行进度的影响，这将对2025年的装备确认带来压力，且由于2024年的订单量超过2023年，使得2025年的装备确认有所下滑。</w:t>
      </w:r>
    </w:p>
    <w:p>
      <w:r>
        <w:rPr>
          <w:rFonts w:ascii="等线(中文正文)" w:hAnsi="等线(中文正文)" w:cs="等线(中文正文)" w:eastAsia="等线(中文正文)"/>
          <w:b w:val="false"/>
          <w:i w:val="false"/>
          <w:sz w:val="20"/>
        </w:rPr>
        <w:t/>
      </w:r>
    </w:p>
    <w:p>
      <w:pPr>
        <w:pStyle w:val="ab"/>
      </w:pPr>
      <w:r>
        <w:t>展望2026年，设备分布的经营情况如何？</w:t>
      </w:r>
    </w:p>
    <w:p>
      <w:r>
        <w:rPr>
          <w:rFonts w:ascii="等线(中文正文)" w:hAnsi="等线(中文正文)" w:cs="等线(中文正文)" w:eastAsia="等线(中文正文)"/>
          <w:b w:val="false"/>
          <w:i w:val="false"/>
          <w:sz w:val="20"/>
        </w:rPr>
        <w:t>发言人1：对于2026年设备分布的经营情况，目前讨论尚早，但可以分享的是，今年新签设备订单规模与去年相比持平。此外，最近一季度已落地海外两个项目，总投资接近3.5亿美元，预计将在2028年年中投运。</w:t>
      </w:r>
    </w:p>
    <w:p>
      <w:r>
        <w:rPr>
          <w:rFonts w:ascii="等线(中文正文)" w:hAnsi="等线(中文正文)" w:cs="等线(中文正文)" w:eastAsia="等线(中文正文)"/>
          <w:b w:val="false"/>
          <w:i w:val="false"/>
          <w:sz w:val="20"/>
        </w:rPr>
        <w:t/>
      </w:r>
    </w:p>
    <w:p>
      <w:pPr>
        <w:pStyle w:val="ab"/>
      </w:pPr>
      <w:r>
        <w:t>关于25年年报中设备毛利率下降的原因是什么？</w:t>
      </w:r>
    </w:p>
    <w:p>
      <w:r>
        <w:rPr>
          <w:rFonts w:ascii="等线(中文正文)" w:hAnsi="等线(中文正文)" w:cs="等线(中文正文)" w:eastAsia="等线(中文正文)"/>
          <w:b w:val="false"/>
          <w:i w:val="false"/>
          <w:sz w:val="20"/>
        </w:rPr>
        <w:t>发言人1：设备毛利率下降七个百分点的原因主要是每个订单的价格条件不同，从而影响了毛利率的波动。</w:t>
      </w:r>
    </w:p>
    <w:p>
      <w:r>
        <w:rPr>
          <w:rFonts w:ascii="等线(中文正文)" w:hAnsi="等线(中文正文)" w:cs="等线(中文正文)" w:eastAsia="等线(中文正文)"/>
          <w:b w:val="false"/>
          <w:i w:val="false"/>
          <w:sz w:val="20"/>
        </w:rPr>
        <w:t/>
      </w:r>
    </w:p>
    <w:p>
      <w:pPr>
        <w:pStyle w:val="ab"/>
      </w:pPr>
      <w:r>
        <w:t>目前在手订单情况及环保和新材料领域的订单分布如何？</w:t>
      </w:r>
    </w:p>
    <w:p>
      <w:r>
        <w:rPr>
          <w:rFonts w:ascii="等线(中文正文)" w:hAnsi="等线(中文正文)" w:cs="等线(中文正文)" w:eastAsia="等线(中文正文)"/>
          <w:b w:val="false"/>
          <w:i w:val="false"/>
          <w:sz w:val="20"/>
        </w:rPr>
        <w:t>发言人1：在手订单接近30亿，其中最近一季度新增的海外项目订单约为3.5亿美元（按汇率计算）。环保和新材料领域的订单均保持并重，新材料订单可能稍微多一些，且主要客户来自于圣城、BOT项目及对外订单等。</w:t>
      </w:r>
    </w:p>
    <w:p>
      <w:r>
        <w:rPr>
          <w:rFonts w:ascii="等线(中文正文)" w:hAnsi="等线(中文正文)" w:cs="等线(中文正文)" w:eastAsia="等线(中文正文)"/>
          <w:b w:val="false"/>
          <w:i w:val="false"/>
          <w:sz w:val="20"/>
        </w:rPr>
        <w:t/>
      </w:r>
    </w:p>
    <w:p>
      <w:pPr>
        <w:pStyle w:val="ab"/>
      </w:pPr>
      <w:r>
        <w:t>关于新材料板块，25年的高端面和创新产品的出货量分别是多少？</w:t>
      </w:r>
    </w:p>
    <w:p>
      <w:r>
        <w:rPr>
          <w:rFonts w:ascii="等线(中文正文)" w:hAnsi="等线(中文正文)" w:cs="等线(中文正文)" w:eastAsia="等线(中文正文)"/>
          <w:b w:val="false"/>
          <w:i w:val="false"/>
          <w:sz w:val="20"/>
        </w:rPr>
        <w:t>发言人1：2025年，新材料板块的出货量和电解类产品的出货量未在对话中明确给出具体数据，但提到了全年实现了1.15万吨的对外销售，以及相应的收入和利润情况。</w:t>
      </w:r>
    </w:p>
    <w:p>
      <w:r>
        <w:rPr>
          <w:rFonts w:ascii="等线(中文正文)" w:hAnsi="等线(中文正文)" w:cs="等线(中文正文)" w:eastAsia="等线(中文正文)"/>
          <w:b w:val="false"/>
          <w:i w:val="false"/>
          <w:sz w:val="20"/>
        </w:rPr>
        <w:t/>
      </w:r>
    </w:p>
    <w:p>
      <w:pPr>
        <w:pStyle w:val="ab"/>
      </w:pPr>
      <w:r>
        <w:t>去年我们全年实现了多少金属断面的销售，以及销售金额是多少？</w:t>
      </w:r>
    </w:p>
    <w:p>
      <w:r>
        <w:rPr>
          <w:rFonts w:ascii="等线(中文正文)" w:hAnsi="等线(中文正文)" w:cs="等线(中文正文)" w:eastAsia="等线(中文正文)"/>
          <w:b w:val="false"/>
          <w:i w:val="false"/>
          <w:sz w:val="20"/>
        </w:rPr>
        <w:t>发言人1：去年我们全年实现了大约6050吨的金属断面销售，销售金额为7295万美元。其中包含一定的工产品，总的销售金额是7433万美元。</w:t>
      </w:r>
    </w:p>
    <w:p>
      <w:r>
        <w:rPr>
          <w:rFonts w:ascii="等线(中文正文)" w:hAnsi="等线(中文正文)" w:cs="等线(中文正文)" w:eastAsia="等线(中文正文)"/>
          <w:b w:val="false"/>
          <w:i w:val="false"/>
          <w:sz w:val="20"/>
        </w:rPr>
        <w:t/>
      </w:r>
    </w:p>
    <w:p>
      <w:pPr>
        <w:pStyle w:val="ab"/>
      </w:pPr>
      <w:r>
        <w:t>我们的生产情况如何，特别是连续生产日期是多久？关于毛利率和最近印尼调整的计价公式，这对我们的生产和盈利会有什么影响吗？</w:t>
      </w:r>
    </w:p>
    <w:p>
      <w:r>
        <w:rPr>
          <w:rFonts w:ascii="等线(中文正文)" w:hAnsi="等线(中文正文)" w:cs="等线(中文正文)" w:eastAsia="等线(中文正文)"/>
          <w:b w:val="false"/>
          <w:i w:val="false"/>
          <w:sz w:val="20"/>
        </w:rPr>
        <w:t>发言人1：我们的两台炉子——芦一号炉和二号炉，连续生产日期都超过了365天，产能正在逐步提升，目前主要瓶颈在于原料预测。同时，我们的生产情况良好，下游表现也十分出色。根据去年的数据，即使有6000吨的出货量，毛利大概在每吨1500美元左右，而正率未给出具体数值。关于印尼调整的计价公式，它可能会影响原料成本，但目前来看，由于下游市场的良好表现和稳定的销售支持，整体盈利能力和产量都相当不错。不过，随着产能的进一步提高，今年的成本数据会更准确地反映未来的经营状况。</w:t>
      </w:r>
    </w:p>
    <w:p>
      <w:r>
        <w:rPr>
          <w:rFonts w:ascii="等线(中文正文)" w:hAnsi="等线(中文正文)" w:cs="等线(中文正文)" w:eastAsia="等线(中文正文)"/>
          <w:b w:val="false"/>
          <w:i w:val="false"/>
          <w:sz w:val="20"/>
        </w:rPr>
        <w:t/>
      </w:r>
    </w:p>
    <w:p>
      <w:pPr>
        <w:pStyle w:val="ab"/>
      </w:pPr>
      <w:r>
        <w:t>印尼的价格政策变化如何影响我们的运营和成本？</w:t>
      </w:r>
    </w:p>
    <w:p>
      <w:r>
        <w:rPr>
          <w:rFonts w:ascii="等线(中文正文)" w:hAnsi="等线(中文正文)" w:cs="等线(中文正文)" w:eastAsia="等线(中文正文)"/>
          <w:b w:val="false"/>
          <w:i w:val="false"/>
          <w:sz w:val="20"/>
        </w:rPr>
        <w:t>发言人1：目前，由于在青山园区内，矿石供应相对有保障，尽管近期市场价格有所上涨，但由于我们项目产能不是特别大，且市场供应充足，因此目前原料端的价格上涨仍处于可控范围。尤其是对于我们的工艺来说，相较于传统工艺，其优势更加明显，因为我们的流环耗量比更低，且在当前政策环境下，对低价矿的成本影响较小，使得我们的工艺在成本上有较大竞争力。</w:t>
      </w:r>
    </w:p>
    <w:p>
      <w:r>
        <w:rPr>
          <w:rFonts w:ascii="等线(中文正文)" w:hAnsi="等线(中文正文)" w:cs="等线(中文正文)" w:eastAsia="等线(中文正文)"/>
          <w:b w:val="false"/>
          <w:i w:val="false"/>
          <w:sz w:val="20"/>
        </w:rPr>
        <w:t/>
      </w:r>
    </w:p>
    <w:p>
      <w:pPr>
        <w:pStyle w:val="ab"/>
      </w:pPr>
      <w:r>
        <w:t>对于产品涨价和成本优势，我们内部改造的订单情况是怎样的？</w:t>
      </w:r>
    </w:p>
    <w:p>
      <w:r>
        <w:rPr>
          <w:rFonts w:ascii="等线(中文正文)" w:hAnsi="等线(中文正文)" w:cs="等线(中文正文)" w:eastAsia="等线(中文正文)"/>
          <w:b w:val="false"/>
          <w:i w:val="false"/>
          <w:sz w:val="20"/>
        </w:rPr>
        <w:t>发言人1：我们内部改造的订单主要集中在环保技改方面，特别是浙江省内大量项目需要在2027年底前完成超低排放改造。我们已启动相关装备的时间安排，并根据项目分类按年份倒排工期，确保按时完成改造工作。</w:t>
      </w:r>
    </w:p>
    <w:p>
      <w:r>
        <w:rPr>
          <w:rFonts w:ascii="等线(中文正文)" w:hAnsi="等线(中文正文)" w:cs="等线(中文正文)" w:eastAsia="等线(中文正文)"/>
          <w:b w:val="false"/>
          <w:i w:val="false"/>
          <w:sz w:val="20"/>
        </w:rPr>
        <w:t/>
      </w:r>
    </w:p>
    <w:p>
      <w:pPr>
        <w:pStyle w:val="ab"/>
      </w:pPr>
      <w:r>
        <w:t>浙江股超市的垃圾发电标准是否为全国乃至全球最高，并且我们目前应将这部分收入放在哪个科目中？</w:t>
      </w:r>
    </w:p>
    <w:p>
      <w:r>
        <w:rPr>
          <w:rFonts w:ascii="等线(中文正文)" w:hAnsi="等线(中文正文)" w:cs="等线(中文正文)" w:eastAsia="等线(中文正文)"/>
          <w:b w:val="false"/>
          <w:i w:val="false"/>
          <w:sz w:val="20"/>
        </w:rPr>
        <w:t>发言人1：是的，浙江股超市的垃圾发电标准是全国乃至全球最高的。对于这部分收入，由于具体处理环节尚未确认收入，所以没有明确的收入科目。存货中可能包含部分无形资产，例如油泵等。</w:t>
      </w:r>
    </w:p>
    <w:p>
      <w:r>
        <w:rPr>
          <w:rFonts w:ascii="等线(中文正文)" w:hAnsi="等线(中文正文)" w:cs="等线(中文正文)" w:eastAsia="等线(中文正文)"/>
          <w:b w:val="false"/>
          <w:i w:val="false"/>
          <w:sz w:val="20"/>
        </w:rPr>
        <w:t/>
      </w:r>
    </w:p>
    <w:p>
      <w:pPr>
        <w:pStyle w:val="ab"/>
      </w:pPr>
      <w:r>
        <w:t>我们提前做产品房改造工作，但最终装备收入确认是否会受其他因素影响？</w:t>
      </w:r>
    </w:p>
    <w:p>
      <w:r>
        <w:rPr>
          <w:rFonts w:ascii="等线(中文正文)" w:hAnsi="等线(中文正文)" w:cs="等线(中文正文)" w:eastAsia="等线(中文正文)"/>
          <w:b w:val="false"/>
          <w:i w:val="false"/>
          <w:sz w:val="20"/>
        </w:rPr>
        <w:t>发言人1：目前核心问题在于与政府确定商业条件，商务条件谈判尚未完全完成。因此，装备收入确认可能会受到一些其他因素的影响。</w:t>
      </w:r>
    </w:p>
    <w:p>
      <w:r>
        <w:rPr>
          <w:rFonts w:ascii="等线(中文正文)" w:hAnsi="等线(中文正文)" w:cs="等线(中文正文)" w:eastAsia="等线(中文正文)"/>
          <w:b w:val="false"/>
          <w:i w:val="false"/>
          <w:sz w:val="20"/>
        </w:rPr>
        <w:t/>
      </w:r>
    </w:p>
    <w:p>
      <w:pPr>
        <w:pStyle w:val="ab"/>
      </w:pPr>
      <w:r>
        <w:t>未在2025年确认的装备收入大概会在何时确认？是上半年还是更晚？</w:t>
      </w:r>
    </w:p>
    <w:p>
      <w:r>
        <w:rPr>
          <w:rFonts w:ascii="等线(中文正文)" w:hAnsi="等线(中文正文)" w:cs="等线(中文正文)" w:eastAsia="等线(中文正文)"/>
          <w:b w:val="false"/>
          <w:i w:val="false"/>
          <w:sz w:val="20"/>
        </w:rPr>
        <w:t>发言人1：装备收入的确认时间不确定，可能在上半年，也可能因突发性事件而有所延迟。会计政策要求我们年底选择更准确的处理方式，收入确认与项目具体条件相关，需要加强后续工作以理顺这些问题。</w:t>
      </w:r>
    </w:p>
    <w:p>
      <w:r>
        <w:rPr>
          <w:rFonts w:ascii="等线(中文正文)" w:hAnsi="等线(中文正文)" w:cs="等线(中文正文)" w:eastAsia="等线(中文正文)"/>
          <w:b w:val="false"/>
          <w:i w:val="false"/>
          <w:sz w:val="20"/>
        </w:rPr>
        <w:t/>
      </w:r>
    </w:p>
    <w:p>
      <w:pPr>
        <w:pStyle w:val="ab"/>
      </w:pPr>
      <w:r>
        <w:t>关于海外大型粉康项目，是否有开标时间及量的预期判断？</w:t>
      </w:r>
    </w:p>
    <w:p>
      <w:r>
        <w:rPr>
          <w:rFonts w:ascii="等线(中文正文)" w:hAnsi="等线(中文正文)" w:cs="等线(中文正文)" w:eastAsia="等线(中文正文)"/>
          <w:b w:val="false"/>
          <w:i w:val="false"/>
          <w:sz w:val="20"/>
        </w:rPr>
        <w:t>发言人1：我们正在积极拓展东南亚的大型粉康项目，目前已经有三个项目开标，第二批预审正在进行中，预审完成后将启动新的项目。预计五月份完成相关工作，这对我们的单身成本会有一定影响。</w:t>
      </w:r>
    </w:p>
    <w:p>
      <w:r>
        <w:rPr>
          <w:rFonts w:ascii="等线(中文正文)" w:hAnsi="等线(中文正文)" w:cs="等线(中文正文)" w:eastAsia="等线(中文正文)"/>
          <w:b w:val="false"/>
          <w:i w:val="false"/>
          <w:sz w:val="20"/>
        </w:rPr>
        <w:t/>
      </w:r>
    </w:p>
    <w:p>
      <w:pPr>
        <w:pStyle w:val="ab"/>
      </w:pPr>
      <w:r>
        <w:t>目前调头道路的成本是否能控制在1万美元以内？预计印尼的2万吨产能何时投产？</w:t>
      </w:r>
    </w:p>
    <w:p>
      <w:r>
        <w:rPr>
          <w:rFonts w:ascii="等线(中文正文)" w:hAnsi="等线(中文正文)" w:cs="等线(中文正文)" w:eastAsia="等线(中文正文)"/>
          <w:b w:val="false"/>
          <w:i w:val="false"/>
          <w:sz w:val="20"/>
        </w:rPr>
        <w:t>发言人1：成本目前可能稍微突破1万美元，具体情况因项目而异，但总体上投资成本有所增加，这主要是由于采用较为新颖的工艺和研发投入带来的。计划在二季度再增加1万吨产能，三季度再增加1万吨产能。</w:t>
      </w:r>
    </w:p>
    <w:p>
      <w:r>
        <w:rPr>
          <w:rFonts w:ascii="等线(中文正文)" w:hAnsi="等线(中文正文)" w:cs="等线(中文正文)" w:eastAsia="等线(中文正文)"/>
          <w:b w:val="false"/>
          <w:i w:val="false"/>
          <w:sz w:val="20"/>
        </w:rPr>
        <w:t/>
      </w:r>
    </w:p>
    <w:p>
      <w:pPr>
        <w:pStyle w:val="ab"/>
      </w:pPr>
      <w:r>
        <w:t>关于印尼垃圾焚烧项目的财务模型及其盈利能力，能否与国内项目进行对比？</w:t>
      </w:r>
    </w:p>
    <w:p>
      <w:r>
        <w:rPr>
          <w:rFonts w:ascii="等线(中文正文)" w:hAnsi="等线(中文正文)" w:cs="等线(中文正文)" w:eastAsia="等线(中文正文)"/>
          <w:b w:val="false"/>
          <w:i w:val="false"/>
          <w:sz w:val="20"/>
        </w:rPr>
        <w:t>发言人1：印尼垃圾焚烧项目的度电收入远高于国内，假设运营顺利，收入可能接近100美元/吨垃圾，而国内则为250至300元人民币/吨垃圾。</w:t>
      </w:r>
    </w:p>
    <w:p>
      <w:r>
        <w:rPr>
          <w:rFonts w:ascii="等线(中文正文)" w:hAnsi="等线(中文正文)" w:cs="等线(中文正文)" w:eastAsia="等线(中文正文)"/>
          <w:b w:val="false"/>
          <w:i w:val="false"/>
          <w:sz w:val="20"/>
        </w:rPr>
        <w:t/>
      </w:r>
    </w:p>
    <w:p>
      <w:pPr>
        <w:pStyle w:val="ab"/>
      </w:pPr>
      <w:r>
        <w:t>为何四季度营收相比中报和年报下降明显？以及印尼项目何时会启动建设并确认收入？</w:t>
      </w:r>
    </w:p>
    <w:p>
      <w:r>
        <w:rPr>
          <w:rFonts w:ascii="等线(中文正文)" w:hAnsi="等线(中文正文)" w:cs="等线(中文正文)" w:eastAsia="等线(中文正文)"/>
          <w:b w:val="false"/>
          <w:i w:val="false"/>
          <w:sz w:val="20"/>
        </w:rPr>
        <w:t>发言人1：四季度营收下降主要是由于设计进度和会计师确认两个方面的原因。印尼项目正在研究中，以符合海外会计政策的要求，我们会与会计师进一步交流和沟通，确定合适的收入确认时间和方式。</w:t>
      </w:r>
    </w:p>
    <w:p>
      <w:r>
        <w:rPr>
          <w:rFonts w:ascii="等线(中文正文)" w:hAnsi="等线(中文正文)" w:cs="等线(中文正文)" w:eastAsia="等线(中文正文)"/>
          <w:b w:val="false"/>
          <w:i w:val="false"/>
          <w:sz w:val="20"/>
        </w:rPr>
        <w:t/>
      </w:r>
    </w:p>
    <w:p>
      <w:pPr>
        <w:pStyle w:val="ab"/>
      </w:pPr>
      <w:r>
        <w:t>关于上网协议和合作协议的深入条款，目前时间确定情况如何？</w:t>
      </w:r>
    </w:p>
    <w:p>
      <w:r>
        <w:rPr>
          <w:rFonts w:ascii="等线(中文正文)" w:hAnsi="等线(中文正文)" w:cs="等线(中文正文)" w:eastAsia="等线(中文正文)"/>
          <w:b w:val="false"/>
          <w:i w:val="false"/>
          <w:sz w:val="20"/>
        </w:rPr>
        <w:t>发言人1：目前对于上网协议和合作协议中涉及的深入条款，时间还没有完全确定，我们还在研究，并在进一步跟进条款内容。</w:t>
      </w:r>
    </w:p>
    <w:p>
      <w:r>
        <w:rPr>
          <w:rFonts w:ascii="等线(中文正文)" w:hAnsi="等线(中文正文)" w:cs="等线(中文正文)" w:eastAsia="等线(中文正文)"/>
          <w:b w:val="false"/>
          <w:i w:val="false"/>
          <w:sz w:val="20"/>
        </w:rPr>
        <w:t/>
      </w:r>
    </w:p>
    <w:p>
      <w:pPr>
        <w:pStyle w:val="ab"/>
      </w:pPr>
      <w:r>
        <w:t>财务处理方面以及项目进度上有哪些进展？</w:t>
      </w:r>
    </w:p>
    <w:p>
      <w:r>
        <w:rPr>
          <w:rFonts w:ascii="等线(中文正文)" w:hAnsi="等线(中文正文)" w:cs="等线(中文正文)" w:eastAsia="等线(中文正文)"/>
          <w:b w:val="false"/>
          <w:i w:val="false"/>
          <w:sz w:val="20"/>
        </w:rPr>
        <w:t>发言人1：在财务处理上，我们已对项目建设进度进行了回复。目前，两个项目的项目部都已经成立并派出人员现场办公，其中在巴厘岛和雅加达各有六七名员工。组织机构上，我们在印尼设立了管理总部以实现对海外项目的全面管理。同时，为了响应印尼政府对于智能生产厂的要求，我们在印尼设立了总部公司，并计划推进三个板块的工作。</w:t>
      </w:r>
    </w:p>
    <w:p>
      <w:r>
        <w:rPr>
          <w:rFonts w:ascii="等线(中文正文)" w:hAnsi="等线(中文正文)" w:cs="等线(中文正文)" w:eastAsia="等线(中文正文)"/>
          <w:b w:val="false"/>
          <w:i w:val="false"/>
          <w:sz w:val="20"/>
        </w:rPr>
        <w:t/>
      </w:r>
    </w:p>
    <w:p>
      <w:pPr>
        <w:pStyle w:val="ab"/>
      </w:pPr>
      <w:r>
        <w:t>是否有计划继续开展新材料项目和其他环保项目？垃圾发电项目的建设进度如何？政府有何要求？</w:t>
      </w:r>
    </w:p>
    <w:p>
      <w:r>
        <w:rPr>
          <w:rFonts w:ascii="等线(中文正文)" w:hAnsi="等线(中文正文)" w:cs="等线(中文正文)" w:eastAsia="等线(中文正文)"/>
          <w:b w:val="false"/>
          <w:i w:val="false"/>
          <w:sz w:val="20"/>
        </w:rPr>
        <w:t>发言人1：我们仍在筹备并努力推进新材料项目，并且也在积极考虑在印尼实现装备的本地化生产制造。此外，我们已经开始着手垃圾环保项目的实施，未来还计划启动更多类似的项目。垃圾发电项目的政府指导意见是在2028年6月底建成，而我们的内部目标是在2027年完成，越早越好。印尼政府对此项目寄予厚望，希望我们能打造成为标杆性的工程，且项目的建设规模高于欧盟标准。虽然面临当地审批和手续等挑战，但由于我们已提前做了很多工作，包括采购装备等，这将有助于加快后续建设进度。</w:t>
      </w:r>
    </w:p>
    <w:p>
      <w:r>
        <w:rPr>
          <w:rFonts w:ascii="等线(中文正文)" w:hAnsi="等线(中文正文)" w:cs="等线(中文正文)" w:eastAsia="等线(中文正文)"/>
          <w:b w:val="false"/>
          <w:i w:val="false"/>
          <w:sz w:val="20"/>
        </w:rPr>
        <w:t/>
      </w:r>
    </w:p>
    <w:p>
      <w:pPr>
        <w:pStyle w:val="ab"/>
      </w:pPr>
      <w:r>
        <w:t>国家和省级政府层面对于项目有哪些支持措施？</w:t>
      </w:r>
    </w:p>
    <w:p>
      <w:r>
        <w:rPr>
          <w:rFonts w:ascii="等线(中文正文)" w:hAnsi="等线(中文正文)" w:cs="等线(中文正文)" w:eastAsia="等线(中文正文)"/>
          <w:b w:val="false"/>
          <w:i w:val="false"/>
          <w:sz w:val="20"/>
        </w:rPr>
        <w:t>发言人1：国家省政府层面提供了多项支持，包括环保补助、中长期国债资金等，并且我们已取得部分中长期国债资金用于改造项目的投资成本降低。此外，还通过延长特殊经营期周期等方式补偿投资，解决项目管理采购途径的问题。</w:t>
      </w:r>
    </w:p>
    <w:p>
      <w:r>
        <w:rPr>
          <w:rFonts w:ascii="等线(中文正文)" w:hAnsi="等线(中文正文)" w:cs="等线(中文正文)" w:eastAsia="等线(中文正文)"/>
          <w:b w:val="false"/>
          <w:i w:val="false"/>
          <w:sz w:val="20"/>
        </w:rPr>
        <w:t/>
      </w:r>
    </w:p>
    <w:p>
      <w:pPr>
        <w:pStyle w:val="ab"/>
      </w:pPr>
      <w:r>
        <w:t>第一季度装备确认方式、节奏以及高镍和湿法冶金业务量的指引是什么？</w:t>
      </w:r>
    </w:p>
    <w:p>
      <w:r>
        <w:rPr>
          <w:rFonts w:ascii="等线(中文正文)" w:hAnsi="等线(中文正文)" w:cs="等线(中文正文)" w:eastAsia="等线(中文正文)"/>
          <w:b w:val="false"/>
          <w:i w:val="false"/>
          <w:sz w:val="20"/>
        </w:rPr>
        <w:t>发言人1：第一季度装备确认原则上延续年度判断，具体订单确认量取决于项目进度和外部条件，数据尚未完全确定。而对于一季度的面业务情况，稳定上升是主基调，其中CM2生产经营稳定，三号线投运后产能有望提升；而维维正兴在一季度经济情况良好，营收和利润均较为乐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2026-04-26T23:52:13Z</dcterms:created>
  <dc:creator>Apache POI</dc:creator>
</cp:coreProperties>
</file>