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长江大科技 260426_导读</w:t>
      </w:r>
    </w:p>
    <w:p>
      <w:pPr>
        <w:pStyle w:val="a0"/>
        <w:jc w:val="center"/>
      </w:pPr>
      <w:r>
        <w:t>2026年04月27日 07:43</w:t>
      </w:r>
    </w:p>
    <w:p>
      <w:pPr>
        <w:pStyle w:val="a7"/>
      </w:pPr>
      <w:r>
        <w:t>关键词</w:t>
      </w:r>
    </w:p>
    <w:p>
      <w:r>
        <w:rPr>
          <w:rFonts w:ascii="等线(中文正文)" w:hAnsi="等线(中文正文)" w:cs="等线(中文正文)" w:eastAsia="等线(中文正文)"/>
          <w:b w:val="false"/>
          <w:i w:val="false"/>
          <w:sz w:val="20"/>
        </w:rPr>
        <w:t xml:space="preserve">PCB 国产算力 芯片 连接器 交换芯片 工业AI 游戏板块 完美世界 一环 传媒互联网 海光信息 天助之心 寒武纪 阿里巴巴 金山云 首都在线 中控技术 游戏 流水 评分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讨论聚焦于PCB行业技术创新，特别指出正交背板和Cope方案的应用，旨在提升电路密度与信号效率，降低生产成本，预示着未来高端设备领域的广泛应用前景。同时，国产算力发展成为关注焦点，彰显中国在算力技术进步与市场占有率提升的势头，看好相关硬件、芯片及模型市场的投资潜力。游戏行业亦是讨论热点，分析了世纪华通、完美世界等公司新产品的市场表现及其对公司业绩的影响，反映了游戏行业内的竞争态势与市场动态。整体上，对话覆盖了PCB技术革新、国产算力崛起及游戏行业发展趋势，为投资者提供了多元化的市场机会洞察。</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PCB行业新趋势与竞争格局分析</w:t>
      </w:r>
    </w:p>
    <w:p>
      <w:r>
        <w:rPr>
          <w:rFonts w:ascii="等线(中文正文)" w:hAnsi="等线(中文正文)" w:cs="等线(中文正文)" w:eastAsia="等线(中文正文)"/>
          <w:b w:val="false"/>
          <w:i w:val="false"/>
          <w:sz w:val="20"/>
        </w:rPr>
        <w:t>对话深入探讨了PCB行业未来的技术革新和市场机遇，重点介绍了正交背板和Cope方案等新兴技术，及其对成本、尺寸和性能的优化。分析指出，具备MSUP工艺的公司将在Cope方案中受益，而景旺、棚顶和深南等供应商在特定领域如1.6T光模块和Msub工艺上占据优势。展望未来，行业龙头如盛红布垫被看好，PCB细分市场预计将持续高速增长。</w:t>
      </w:r>
    </w:p>
    <w:p>
      <w:r>
        <w:rPr>
          <w:rFonts w:ascii="等线(中文正文)" w:hAnsi="等线(中文正文)" w:cs="等线(中文正文)" w:eastAsia="等线(中文正文)"/>
          <w:b w:val="false"/>
          <w:i w:val="false"/>
          <w:sz w:val="20"/>
        </w:rPr>
        <w:t/>
      </w:r>
    </w:p>
    <w:p>
      <w:pPr>
        <w:pStyle w:val="ab"/>
        <w:numPr>
          <w:numId w:val="2"/>
        </w:numPr>
      </w:pPr>
      <w:r>
        <w:t>03:37 国产算力产业新机遇与投资方向</w:t>
      </w:r>
    </w:p>
    <w:p>
      <w:r>
        <w:rPr>
          <w:rFonts w:ascii="等线(中文正文)" w:hAnsi="等线(中文正文)" w:cs="等线(中文正文)" w:eastAsia="等线(中文正文)"/>
          <w:b w:val="false"/>
          <w:i w:val="false"/>
          <w:sz w:val="20"/>
        </w:rPr>
        <w:t>对话深入探讨了国产算力产业的发展现状与未来前景，指出今年国产算力与国际水平差距缩小，性价比突出，市场份额持续提升。推荐关注生产链、高速连接器及交换芯片等环节的投资机会，强调生成产业链中自研能力较强的环节受益显著，同时阿里、字节等互联网厂商的互联架构推出将带动交换芯片及相关领域投资价值。</w:t>
      </w:r>
    </w:p>
    <w:p>
      <w:r>
        <w:rPr>
          <w:rFonts w:ascii="等线(中文正文)" w:hAnsi="等线(中文正文)" w:cs="等线(中文正文)" w:eastAsia="等线(中文正文)"/>
          <w:b w:val="false"/>
          <w:i w:val="false"/>
          <w:sz w:val="20"/>
        </w:rPr>
        <w:t/>
      </w:r>
    </w:p>
    <w:p>
      <w:pPr>
        <w:pStyle w:val="ab"/>
        <w:numPr>
          <w:numId w:val="3"/>
        </w:numPr>
      </w:pPr>
      <w:r>
        <w:t>08:53 DeepSeek V4预览版发布引发国产AI链条期待</w:t>
      </w:r>
    </w:p>
    <w:p>
      <w:r>
        <w:rPr>
          <w:rFonts w:ascii="等线(中文正文)" w:hAnsi="等线(中文正文)" w:cs="等线(中文正文)" w:eastAsia="等线(中文正文)"/>
          <w:b w:val="false"/>
          <w:i w:val="false"/>
          <w:sz w:val="20"/>
        </w:rPr>
        <w:t>分享了DeepSeek V4预览版发布及其卓越性能，强调其对国产AI链条的拉动作用，推荐相关标的如海光信息、天助之心等，同时关注中控技术转型中的工业AI业务放量，期待DeepSeek V4正式版点燃市场情绪。</w:t>
      </w:r>
    </w:p>
    <w:p>
      <w:r>
        <w:rPr>
          <w:rFonts w:ascii="等线(中文正文)" w:hAnsi="等线(中文正文)" w:cs="等线(中文正文)" w:eastAsia="等线(中文正文)"/>
          <w:b w:val="false"/>
          <w:i w:val="false"/>
          <w:sz w:val="20"/>
        </w:rPr>
        <w:t/>
      </w:r>
    </w:p>
    <w:p>
      <w:pPr>
        <w:pStyle w:val="ab"/>
        <w:numPr>
          <w:numId w:val="4"/>
        </w:numPr>
      </w:pPr>
      <w:r>
        <w:t>14:02 游戏板块两极分化，完美世界新作受关注</w:t>
      </w:r>
    </w:p>
    <w:p>
      <w:r>
        <w:rPr>
          <w:rFonts w:ascii="等线(中文正文)" w:hAnsi="等线(中文正文)" w:cs="等线(中文正文)" w:eastAsia="等线(中文正文)"/>
          <w:b w:val="false"/>
          <w:i w:val="false"/>
          <w:sz w:val="20"/>
        </w:rPr>
        <w:t>过去一周游戏板块表现两极分化，头部公司股价普遍下跌，完美世界新作《一环》上线表现未达预期，但品质过硬，预计长期运营良好。世纪华通旗下出海产品表现亮眼，维持长期增长趋势。投资者应关注游戏公司基本面及新作长期潜力。</w:t>
      </w:r>
    </w:p>
    <w:p>
      <w:r>
        <w:rPr>
          <w:rFonts w:ascii="等线(中文正文)" w:hAnsi="等线(中文正文)" w:cs="等线(中文正文)" w:eastAsia="等线(中文正文)"/>
          <w:b w:val="false"/>
          <w:i w:val="false"/>
          <w:sz w:val="20"/>
        </w:rPr>
        <w:t/>
      </w:r>
    </w:p>
    <w:p>
      <w:pPr>
        <w:pStyle w:val="ab"/>
        <w:numPr>
          <w:numId w:val="5"/>
        </w:numPr>
      </w:pPr>
      <w:r>
        <w:t>18:38 游戏板块业绩分析与投资建议</w:t>
      </w:r>
    </w:p>
    <w:p>
      <w:r>
        <w:rPr>
          <w:rFonts w:ascii="等线(中文正文)" w:hAnsi="等线(中文正文)" w:cs="等线(中文正文)" w:eastAsia="等线(中文正文)"/>
          <w:b w:val="false"/>
          <w:i w:val="false"/>
          <w:sz w:val="20"/>
        </w:rPr>
        <w:t>对话围绕游戏板块业绩展开，指出多家游戏公司财报超预期，行业景气度高。建议关注世纪华通、恺英网络等A股公司及腾讯、新牛等港股公司，强调吉比特、巨人网络等表现强劲。认为板块调整充分，具备安全边际，适合长期关注。</w:t>
      </w:r>
    </w:p>
    <w:p>
      <w:r>
        <w:rPr>
          <w:rFonts w:ascii="等线(中文正文)" w:hAnsi="等线(中文正文)" w:cs="等线(中文正文)" w:eastAsia="等线(中文正文)"/>
          <w:b w:val="false"/>
          <w:i w:val="false"/>
          <w:sz w:val="20"/>
        </w:rPr>
        <w:t/>
      </w:r>
    </w:p>
    <w:p>
      <w:pPr>
        <w:pStyle w:val="a7"/>
      </w:pPr>
      <w:r>
        <w:t>发言总结</w:t>
      </w:r>
    </w:p>
    <w:p>
      <w:pPr>
        <w:pStyle w:val="ab"/>
        <w:numPr>
          <w:numId w:val="6"/>
        </w:numPr>
      </w:pPr>
      <w:r>
        <w:t>发言人1</w:t>
      </w:r>
    </w:p>
    <w:p>
      <w:r>
        <w:rPr>
          <w:rFonts w:ascii="等线(中文正文)" w:hAnsi="等线(中文正文)" w:cs="等线(中文正文)" w:eastAsia="等线(中文正文)"/>
          <w:b w:val="false"/>
          <w:i w:val="false"/>
          <w:sz w:val="20"/>
        </w:rPr>
        <w:t>首先探讨了PCB行业的新技术，包括正交背板和Cop方案，这些技术的引入有助于降低生产成本并提高电路设计的紧凑性。随后，他提到了国产算力的显著进步，特别是在AI芯片和大型模型领域，这正推动整个产业链的繁荣发展。他强调了国产算力硬件与云技术资源的重要性，并推荐了几家在这一领域有突出表现的企业。在游戏行业方面，他分析了游戏公司的财务与市场表现，尽管近期股价有所波动，但仍看好部分公司的长期业绩和市场潜力。最后，他指出，传媒板块中的游戏公司，特别是那些在海外市场上表现优异且有持续产品更新计划的公司，具有较高的投资价值。</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问：正交背板方案在keep架构下的测试进展如何？</w:t>
      </w:r>
    </w:p>
    <w:p>
      <w:r>
        <w:rPr>
          <w:rFonts w:ascii="等线(中文正文)" w:hAnsi="等线(中文正文)" w:cs="等线(中文正文)" w:eastAsia="等线(中文正文)"/>
          <w:b w:val="false"/>
          <w:i w:val="false"/>
          <w:sz w:val="20"/>
        </w:rPr>
        <w:t>发言人1 答：目前正交背板方案正在测试过程中，预期在27年下半年可能会推出，该方案有望取代原有的统揽方案。</w:t>
      </w:r>
    </w:p>
    <w:p>
      <w:r>
        <w:rPr>
          <w:rFonts w:ascii="等线(中文正文)" w:hAnsi="等线(中文正文)" w:cs="等线(中文正文)" w:eastAsia="等线(中文正文)"/>
          <w:b w:val="false"/>
          <w:i w:val="false"/>
          <w:sz w:val="20"/>
        </w:rPr>
        <w:t/>
      </w:r>
    </w:p>
    <w:p>
      <w:pPr>
        <w:pStyle w:val="ab"/>
      </w:pPr>
      <w:r>
        <w:t>发言人1 问：Cope方案的主要特点和优势是什么？</w:t>
      </w:r>
    </w:p>
    <w:p>
      <w:r>
        <w:rPr>
          <w:rFonts w:ascii="等线(中文正文)" w:hAnsi="等线(中文正文)" w:cs="等线(中文正文)" w:eastAsia="等线(中文正文)"/>
          <w:b w:val="false"/>
          <w:i w:val="false"/>
          <w:sz w:val="20"/>
        </w:rPr>
        <w:t>发言人1 答：Cope方案是PCB与载板的一体化设计，省去了中间IC载板，将芯片直接封装在PCB上，这将使电路结构尺寸更小、布线更紧密、信号路径更短，并且成本相比传统的ABF BT材料有所降低。</w:t>
      </w:r>
    </w:p>
    <w:p>
      <w:r>
        <w:rPr>
          <w:rFonts w:ascii="等线(中文正文)" w:hAnsi="等线(中文正文)" w:cs="等线(中文正文)" w:eastAsia="等线(中文正文)"/>
          <w:b w:val="false"/>
          <w:i w:val="false"/>
          <w:sz w:val="20"/>
        </w:rPr>
        <w:t/>
      </w:r>
    </w:p>
    <w:p>
      <w:pPr>
        <w:pStyle w:val="ab"/>
      </w:pPr>
      <w:r>
        <w:t>发言人1 问：M sup工艺在Cope方案中的应用及其影响如何？</w:t>
      </w:r>
    </w:p>
    <w:p>
      <w:r>
        <w:rPr>
          <w:rFonts w:ascii="等线(中文正文)" w:hAnsi="等线(中文正文)" w:cs="等线(中文正文)" w:eastAsia="等线(中文正文)"/>
          <w:b w:val="false"/>
          <w:i w:val="false"/>
          <w:sz w:val="20"/>
        </w:rPr>
        <w:t>发言人1 答：M sup是一个新的工艺，原本主要应用于生产复杂PCB工艺，现在开始应用于Cop方案中，尤其在高端手机主板上有广泛应用。拥有M sup工艺或产能的公司将可能从Cop方案中受益，推动PCB细分赛道的高增速。</w:t>
      </w:r>
    </w:p>
    <w:p>
      <w:r>
        <w:rPr>
          <w:rFonts w:ascii="等线(中文正文)" w:hAnsi="等线(中文正文)" w:cs="等线(中文正文)" w:eastAsia="等线(中文正文)"/>
          <w:b w:val="false"/>
          <w:i w:val="false"/>
          <w:sz w:val="20"/>
        </w:rPr>
        <w:t/>
      </w:r>
    </w:p>
    <w:p>
      <w:pPr>
        <w:pStyle w:val="ab"/>
      </w:pPr>
      <w:r>
        <w:t>发言人1 问：近期PCB行业有哪些变化值得关注？</w:t>
      </w:r>
    </w:p>
    <w:p>
      <w:r>
        <w:rPr>
          <w:rFonts w:ascii="等线(中文正文)" w:hAnsi="等线(中文正文)" w:cs="等线(中文正文)" w:eastAsia="等线(中文正文)"/>
          <w:b w:val="false"/>
          <w:i w:val="false"/>
          <w:sz w:val="20"/>
        </w:rPr>
        <w:t>发言人1 答：近期有两个变化值得关注：一是Rubin一代PCB的排产占比提升，可能会有新供应商如景旺、棚顶等进入市场；二是1.6T光模块所采用的M叉工艺导致产能紧张，明年该产品将大规模放量，鹏鼎和深南在原有M sub工艺上有较高份额，因此值得重点关注。</w:t>
      </w:r>
    </w:p>
    <w:p>
      <w:r>
        <w:rPr>
          <w:rFonts w:ascii="等线(中文正文)" w:hAnsi="等线(中文正文)" w:cs="等线(中文正文)" w:eastAsia="等线(中文正文)"/>
          <w:b w:val="false"/>
          <w:i w:val="false"/>
          <w:sz w:val="20"/>
        </w:rPr>
        <w:t/>
      </w:r>
    </w:p>
    <w:p>
      <w:pPr>
        <w:pStyle w:val="ab"/>
      </w:pPr>
      <w:r>
        <w:t>发言人1 问：对于整个PCB行业龙头公司的看法如何？</w:t>
      </w:r>
    </w:p>
    <w:p>
      <w:r>
        <w:rPr>
          <w:rFonts w:ascii="等线(中文正文)" w:hAnsi="等线(中文正文)" w:cs="等线(中文正文)" w:eastAsia="等线(中文正文)"/>
          <w:b w:val="false"/>
          <w:i w:val="false"/>
          <w:sz w:val="20"/>
        </w:rPr>
        <w:t>发言人1 答：长期看好龙头公司如盛红布垫等在PCB行业的表现，认为整个PCB行业近期和未来的行业情况及发展趋势如此。</w:t>
      </w:r>
    </w:p>
    <w:p>
      <w:r>
        <w:rPr>
          <w:rFonts w:ascii="等线(中文正文)" w:hAnsi="等线(中文正文)" w:cs="等线(中文正文)" w:eastAsia="等线(中文正文)"/>
          <w:b w:val="false"/>
          <w:i w:val="false"/>
          <w:sz w:val="20"/>
        </w:rPr>
        <w:t/>
      </w:r>
    </w:p>
    <w:p>
      <w:pPr>
        <w:pStyle w:val="ab"/>
      </w:pPr>
      <w:r>
        <w:t>发言人1 问：国产算力领域最新的观点是什么？</w:t>
      </w:r>
    </w:p>
    <w:p>
      <w:r>
        <w:rPr>
          <w:rFonts w:ascii="等线(中文正文)" w:hAnsi="等线(中文正文)" w:cs="等线(中文正文)" w:eastAsia="等线(中文正文)"/>
          <w:b w:val="false"/>
          <w:i w:val="false"/>
          <w:sz w:val="20"/>
        </w:rPr>
        <w:t>发言人1 答：国产算力领域今年出现了显著变化，模型与国际先进水平的差距缩小，尤其是在推理场景下性价比突出，国内市场份额和对外输出持续提升。推荐关注华丰科技、航天电器等高速连接器厂商以及盛科通信、瑞金网络等服务器组装调试相关标的，因为在算力芯片缺货背景下，这些环节有望迎来持续增长。</w:t>
      </w:r>
    </w:p>
    <w:p>
      <w:r>
        <w:rPr>
          <w:rFonts w:ascii="等线(中文正文)" w:hAnsi="等线(中文正文)" w:cs="等线(中文正文)" w:eastAsia="等线(中文正文)"/>
          <w:b w:val="false"/>
          <w:i w:val="false"/>
          <w:sz w:val="20"/>
        </w:rPr>
        <w:t/>
      </w:r>
    </w:p>
    <w:p>
      <w:pPr>
        <w:pStyle w:val="ab"/>
      </w:pPr>
      <w:r>
        <w:t>发言人1 问：Deep Seek V4预览版发布和相关论文的讨论点有哪些？</w:t>
      </w:r>
    </w:p>
    <w:p>
      <w:r>
        <w:rPr>
          <w:rFonts w:ascii="等线(中文正文)" w:hAnsi="等线(中文正文)" w:cs="等线(中文正文)" w:eastAsia="等线(中文正文)"/>
          <w:b w:val="false"/>
          <w:i w:val="false"/>
          <w:sz w:val="20"/>
        </w:rPr>
        <w:t>发言人1 答：Deep Seek V4预览版及其论文的发布，展示了显著的性能提升和技术创新。该模型在agented coding评测上达到了开源最佳推理能力，并在数学和竞赛性代码测评中超越了所有公开评测的开源模型，甚至与世界顶级开源模型相当。此外，其参数量级大幅增长，从flash版本的284B到Pro版本的1.6T，展现了强大的能力扩展。</w:t>
      </w:r>
    </w:p>
    <w:p>
      <w:r>
        <w:rPr>
          <w:rFonts w:ascii="等线(中文正文)" w:hAnsi="等线(中文正文)" w:cs="等线(中文正文)" w:eastAsia="等线(中文正文)"/>
          <w:b w:val="false"/>
          <w:i w:val="false"/>
          <w:sz w:val="20"/>
        </w:rPr>
        <w:t/>
      </w:r>
    </w:p>
    <w:p>
      <w:pPr>
        <w:pStyle w:val="ab"/>
      </w:pPr>
      <w:r>
        <w:t>发言人1 问：Deep Seek的发展如何影响国产算力和整体AI产业链？</w:t>
      </w:r>
    </w:p>
    <w:p>
      <w:r>
        <w:rPr>
          <w:rFonts w:ascii="等线(中文正文)" w:hAnsi="等线(中文正文)" w:cs="等线(中文正文)" w:eastAsia="等线(中文正文)"/>
          <w:b w:val="false"/>
          <w:i w:val="false"/>
          <w:sz w:val="20"/>
        </w:rPr>
        <w:t>发言人1 答：Deep Seek的发展验证了我们年初至今提出的token放量思路，即随着国产模型能力提升，将打开更多应用场景的需求侧，进而带动整个token的增长。预计Dip的真实应用将带来更客观评价，同时我们将持续推荐国产AI链条，尤其是以氨酸力芯片和云技术资源为核心标的的公司，如海光信息、天助之心、寒武纪等，并看好阿里巴巴、金山云等云服务提供商。</w:t>
      </w:r>
    </w:p>
    <w:p>
      <w:r>
        <w:rPr>
          <w:rFonts w:ascii="等线(中文正文)" w:hAnsi="等线(中文正文)" w:cs="等线(中文正文)" w:eastAsia="等线(中文正文)"/>
          <w:b w:val="false"/>
          <w:i w:val="false"/>
          <w:sz w:val="20"/>
        </w:rPr>
        <w:t/>
      </w:r>
    </w:p>
    <w:p>
      <w:pPr>
        <w:pStyle w:val="ab"/>
      </w:pPr>
      <w:r>
        <w:t>发言人1 问：中控技术在转型过程中的工业AI业务表现如何？</w:t>
      </w:r>
    </w:p>
    <w:p>
      <w:r>
        <w:rPr>
          <w:rFonts w:ascii="等线(中文正文)" w:hAnsi="等线(中文正文)" w:cs="等线(中文正文)" w:eastAsia="等线(中文正文)"/>
          <w:b w:val="false"/>
          <w:i w:val="false"/>
          <w:sz w:val="20"/>
        </w:rPr>
        <w:t>发言人1 答：中控技术在一季报中披露，尽管整体收入受到下游行业周期性影响及战略转型中的震动期，但其工业AI业务已实现规模化放量，单季度收入接近去年全年水平，表明转型非常成功。我们提醒投资者关注这一核心量点，并将持续陪伴公司走过转型阶段。</w:t>
      </w:r>
    </w:p>
    <w:p>
      <w:r>
        <w:rPr>
          <w:rFonts w:ascii="等线(中文正文)" w:hAnsi="等线(中文正文)" w:cs="等线(中文正文)" w:eastAsia="等线(中文正文)"/>
          <w:b w:val="false"/>
          <w:i w:val="false"/>
          <w:sz w:val="20"/>
        </w:rPr>
        <w:t/>
      </w:r>
    </w:p>
    <w:p>
      <w:pPr>
        <w:pStyle w:val="ab"/>
      </w:pPr>
      <w:r>
        <w:t>发言人1 问：游戏板块近期的情况如何，特别是完美世界新游玉环的表现？</w:t>
      </w:r>
    </w:p>
    <w:p>
      <w:r>
        <w:rPr>
          <w:rFonts w:ascii="等线(中文正文)" w:hAnsi="等线(中文正文)" w:cs="等线(中文正文)" w:eastAsia="等线(中文正文)"/>
          <w:b w:val="false"/>
          <w:i w:val="false"/>
          <w:sz w:val="20"/>
        </w:rPr>
        <w:t>发言人1 答：过去一周游戏板块出现较大调整，其中完美世界旗下新游玉环上线后遭遇连续下跌。尽管市场对其表现存在分歧，但我们认为玉环产品品质过硬，预计上线初期流水表现良好。尽管首日流水和新增玩家情况可能未达前期乐观预期，但考虑到抽卡机制较为减负，商业初期商业化程度相对克制，我们相信其后续仍有可能实现较好的流水增长和长期运营效果，建议关注其长期表现。</w:t>
      </w:r>
    </w:p>
    <w:p>
      <w:r>
        <w:rPr>
          <w:rFonts w:ascii="等线(中文正文)" w:hAnsi="等线(中文正文)" w:cs="等线(中文正文)" w:eastAsia="等线(中文正文)"/>
          <w:b w:val="false"/>
          <w:i w:val="false"/>
          <w:sz w:val="20"/>
        </w:rPr>
        <w:t/>
      </w:r>
    </w:p>
    <w:p>
      <w:pPr>
        <w:pStyle w:val="ab"/>
      </w:pPr>
      <w:r>
        <w:t>发言人1 问：这款产品的初期表现与预期相比有何差距，主要原因是什么？</w:t>
      </w:r>
    </w:p>
    <w:p>
      <w:r>
        <w:rPr>
          <w:rFonts w:ascii="等线(中文正文)" w:hAnsi="等线(中文正文)" w:cs="等线(中文正文)" w:eastAsia="等线(中文正文)"/>
          <w:b w:val="false"/>
          <w:i w:val="false"/>
          <w:sz w:val="20"/>
        </w:rPr>
        <w:t>发言人1 答：初期该产品最高升到了第11名，低于预期的前五名。我们认为主要原因是其流水结构特殊，PC端和中国地EC端占比高达60%以上，而IOS端占比相对较低，这对手游的最佳IOS排名产生了影响。此外，首日评分回落到7.2分左右，也对其口碑和排名有一定拖累。</w:t>
      </w:r>
    </w:p>
    <w:p>
      <w:r>
        <w:rPr>
          <w:rFonts w:ascii="等线(中文正文)" w:hAnsi="等线(中文正文)" w:cs="等线(中文正文)" w:eastAsia="等线(中文正文)"/>
          <w:b w:val="false"/>
          <w:i w:val="false"/>
          <w:sz w:val="20"/>
        </w:rPr>
        <w:t/>
      </w:r>
    </w:p>
    <w:p>
      <w:pPr>
        <w:pStyle w:val="ab"/>
      </w:pPr>
      <w:r>
        <w:t>发言人1 问：该产品上线后市场反馈如何？未来有哪些改善点？</w:t>
      </w:r>
    </w:p>
    <w:p>
      <w:r>
        <w:rPr>
          <w:rFonts w:ascii="等线(中文正文)" w:hAnsi="等线(中文正文)" w:cs="等线(中文正文)" w:eastAsia="等线(中文正文)"/>
          <w:b w:val="false"/>
          <w:i w:val="false"/>
          <w:sz w:val="20"/>
        </w:rPr>
        <w:t>发言人1 答：上线后整体新增评价以正向为主，负向评价集中在移动端优化等方面。预计随着后续版本更新，移动端优化将得到进步提升。另外，由于产品主要来自PC端和官方安卓端，目前利润率较高。同时，4月29号产品将上线海外，海外市场的表现值得关注。</w:t>
      </w:r>
    </w:p>
    <w:p>
      <w:r>
        <w:rPr>
          <w:rFonts w:ascii="等线(中文正文)" w:hAnsi="等线(中文正文)" w:cs="等线(中文正文)" w:eastAsia="等线(中文正文)"/>
          <w:b w:val="false"/>
          <w:i w:val="false"/>
          <w:sz w:val="20"/>
        </w:rPr>
        <w:t/>
      </w:r>
    </w:p>
    <w:p>
      <w:pPr>
        <w:pStyle w:val="ab"/>
      </w:pPr>
      <w:r>
        <w:t>发言人1 问：对于世纪华通及其出海产品，你们怎么看？</w:t>
      </w:r>
    </w:p>
    <w:p>
      <w:r>
        <w:rPr>
          <w:rFonts w:ascii="等线(中文正文)" w:hAnsi="等线(中文正文)" w:cs="等线(中文正文)" w:eastAsia="等线(中文正文)"/>
          <w:b w:val="false"/>
          <w:i w:val="false"/>
          <w:sz w:val="20"/>
        </w:rPr>
        <w:t>发言人1 答：世纪华通旗下互动的几款出海产品取得不错成绩，例如king shot进入美国畅销榜第一名，Tech travels的休闲产品也进入美国IOS畅销榜前15名，均创历史新高。我们判断其长期蓄势未变，向上趋势持续，因此建议长期推荐世纪华通这类有长期运营产品的公司。</w:t>
      </w:r>
    </w:p>
    <w:p>
      <w:r>
        <w:rPr>
          <w:rFonts w:ascii="等线(中文正文)" w:hAnsi="等线(中文正文)" w:cs="等线(中文正文)" w:eastAsia="等线(中文正文)"/>
          <w:b w:val="false"/>
          <w:i w:val="false"/>
          <w:sz w:val="20"/>
        </w:rPr>
        <w:t/>
      </w:r>
    </w:p>
    <w:p>
      <w:pPr>
        <w:pStyle w:val="ab"/>
      </w:pPr>
      <w:r>
        <w:t>发言人1 问：近期游戏公司的业绩情况如何？当前游戏板块估值及投资建议是什么？</w:t>
      </w:r>
    </w:p>
    <w:p>
      <w:r>
        <w:rPr>
          <w:rFonts w:ascii="等线(中文正文)" w:hAnsi="等线(中文正文)" w:cs="等线(中文正文)" w:eastAsia="等线(中文正文)"/>
          <w:b w:val="false"/>
          <w:i w:val="false"/>
          <w:sz w:val="20"/>
        </w:rPr>
        <w:t>发言人1 答：上周部分游戏公司业绩陆续落地，其中吉比特发布了超预期的一季度财报，而莉莉丝也发布了较好的年报及一季度预告，表明整个游戏板块一季度业绩整体向好。大盘景气度下，游戏板块最近的调整较为充分，在14倍左右PE的位置具有较强的安全边际。对于有扎实业绩的公司，如世纪华通、恺英网络和完美世界等，可以继续保持关注。同时，巨人网络、三七互娱和吉比特等在调整之后也可提升关注。港股方面，建议关注腾讯音乐等头部公司及其新产品的表现。</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2026-04-26T23:51:53Z</dcterms:created>
  <dc:creator>Apache POI</dc:creator>
</cp:coreProperties>
</file>