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【花旗】研报解读：DeepSeekV4解读260425_导读</w:t>
      </w:r>
    </w:p>
    <w:p>
      <w:pPr>
        <w:pStyle w:val="a0"/>
        <w:jc w:val="center"/>
      </w:pPr>
      <w:r>
        <w:t>2026年04月26日 23:06</w:t>
      </w:r>
    </w:p>
    <w:p>
      <w:pPr>
        <w:pStyle w:val="a7"/>
      </w:pPr>
      <w:r>
        <w:t>关键词</w:t>
      </w:r>
    </w:p>
    <w:p>
      <w:r>
        <w:rPr>
          <w:rFonts w:ascii="等线(中文正文)" w:hAnsi="等线(中文正文)" w:cs="等线(中文正文)" w:eastAsia="等线(中文正文)"/>
          <w:b w:val="false"/>
          <w:i w:val="false"/>
          <w:sz w:val="20"/>
        </w:rPr>
        <w:t xml:space="preserve">模型 参数 技术升级 性能 阿里巴巴 SOTP 估值 风险 电商集团 云智能集团 AIDC集团 净利润 市盈率 市销率 广告业务 监管环境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中国互联网巨头面对AI模型如Deep SIg V4的快速发展，采取多元化策略以巩固市场地位。这些公司通过开发高性能且成本效益高的模型版本，如Pro和Flash，以及提供创新服务和货币化方式，积极应对竞争。在模型开发上，企业强调解决实际问题，寻求性能与成本之间的最佳平衡，同时与GPT5.4等竞品比较，展示其在特定任务和评测中的优势。此外，对话还探讨了这些企业的估值方法、目标价格设定以及面临的下行风险，包括业务战略调整、经济环境变化和监管压力等。整体而言，讨论涵盖了AI技术进步、市场竞争策略、企业估值及风险管理等多个维度，反映了行业内的激烈竞争与不断演进的格局。</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DeepSeek V4发布：中国AI巨头的模型发展与市场策略</w:t>
      </w:r>
    </w:p>
    <w:p>
      <w:r>
        <w:rPr>
          <w:rFonts w:ascii="等线(中文正文)" w:hAnsi="等线(中文正文)" w:cs="等线(中文正文)" w:eastAsia="等线(中文正文)"/>
          <w:b w:val="false"/>
          <w:i w:val="false"/>
          <w:sz w:val="20"/>
        </w:rPr>
        <w:t>DeepSeek V4的发布，尤其是其Pro和Flash版本，凭借技术升级和开放策略，显著提升了中国AI模型在全球的竞争力。V4 Pro在处理长文本和推理效率上表现卓越，而V4 Flash则在成本与性能间找到了平衡。各企业通过选择适合自身需求的模型，以及采取不同的货币化和服务策略，积极应对市场变化，争取在AI领域占据有利位置。</w:t>
      </w:r>
    </w:p>
    <w:p>
      <w:r>
        <w:rPr>
          <w:rFonts w:ascii="等线(中文正文)" w:hAnsi="等线(中文正文)" w:cs="等线(中文正文)" w:eastAsia="等线(中文正文)"/>
          <w:b w:val="false"/>
          <w:i w:val="false"/>
          <w:sz w:val="20"/>
        </w:rPr>
        <w:t/>
      </w:r>
    </w:p>
    <w:p>
      <w:pPr>
        <w:pStyle w:val="ab"/>
        <w:numPr>
          <w:numId w:val="2"/>
        </w:numPr>
      </w:pPr>
      <w:r>
        <w:t>03:28 大模型市场竞争与技术评测对比</w:t>
      </w:r>
    </w:p>
    <w:p>
      <w:r>
        <w:rPr>
          <w:rFonts w:ascii="等线(中文正文)" w:hAnsi="等线(中文正文)" w:cs="等线(中文正文)" w:eastAsia="等线(中文正文)"/>
          <w:b w:val="false"/>
          <w:i w:val="false"/>
          <w:sz w:val="20"/>
        </w:rPr>
        <w:t>对话深入探讨了当前市场中各大模型的特色与优势，包括tencent的HI3.0、阿里巴巴的QN3.6 max以及deep seek v4等，它们分别在实用主义、agent编程和复杂推理等方面表现突出。通过一系列评测数据的对比，如MMLU pro、super GPQA等，展示了各模型在不同任务上的表现，强调了模型在实际效果、商业化能力及持续服务能力上的重要性，以及企业在选择模型时对质量、价格和任务匹配度的细致考量。</w:t>
      </w:r>
    </w:p>
    <w:p>
      <w:r>
        <w:rPr>
          <w:rFonts w:ascii="等线(中文正文)" w:hAnsi="等线(中文正文)" w:cs="等线(中文正文)" w:eastAsia="等线(中文正文)"/>
          <w:b w:val="false"/>
          <w:i w:val="false"/>
          <w:sz w:val="20"/>
        </w:rPr>
        <w:t/>
      </w:r>
    </w:p>
    <w:p>
      <w:pPr>
        <w:pStyle w:val="ab"/>
        <w:numPr>
          <w:numId w:val="3"/>
        </w:numPr>
      </w:pPr>
      <w:r>
        <w:t>06:46 阿里巴巴SOTP估值方法与风险分析</w:t>
      </w:r>
    </w:p>
    <w:p>
      <w:r>
        <w:rPr>
          <w:rFonts w:ascii="等线(中文正文)" w:hAnsi="等线(中文正文)" w:cs="等线(中文正文)" w:eastAsia="等线(中文正文)"/>
          <w:b w:val="false"/>
          <w:i w:val="false"/>
          <w:sz w:val="20"/>
        </w:rPr>
        <w:t>通过SOTP方法，对阿里巴巴的H股和N股分别定价，基于可比公司估值水平设定关键倍数，考虑净现金折价，得出H股204港元，N股205美元目标价。分析了新零售战略推进、投资力度与利润率压力、用户流量与JMV增长放缓等内部风险，以及业务整合不佳、经济增速下滑、贸易摩擦升级、监管要求变化等外部风险。</w:t>
      </w:r>
    </w:p>
    <w:p>
      <w:r>
        <w:rPr>
          <w:rFonts w:ascii="等线(中文正文)" w:hAnsi="等线(中文正文)" w:cs="等线(中文正文)" w:eastAsia="等线(中文正文)"/>
          <w:b w:val="false"/>
          <w:i w:val="false"/>
          <w:sz w:val="20"/>
        </w:rPr>
        <w:t/>
      </w:r>
    </w:p>
    <w:p>
      <w:pPr>
        <w:pStyle w:val="ab"/>
        <w:numPr>
          <w:numId w:val="4"/>
        </w:numPr>
      </w:pPr>
      <w:r>
        <w:t>08:50 腾讯估值分析与风险评估</w:t>
      </w:r>
    </w:p>
    <w:p>
      <w:r>
        <w:rPr>
          <w:rFonts w:ascii="等线(中文正文)" w:hAnsi="等线(中文正文)" w:cs="等线(中文正文)" w:eastAsia="等线(中文正文)"/>
          <w:b w:val="false"/>
          <w:i w:val="false"/>
          <w:sz w:val="20"/>
        </w:rPr>
        <w:t>对话围绕腾讯的估值方法展开，详细介绍了基于SOPP模型对网络游戏、广告、社交网络、金融科技等业务板块的估值参数，如2027年净利润市盈率和市销率，并讨论了包括PC游戏收入下滑、王者荣耀热度下降、中国经济放缓及行业监管变化在内的主要下行风险。</w:t>
      </w:r>
    </w:p>
    <w:p>
      <w:r>
        <w:rPr>
          <w:rFonts w:ascii="等线(中文正文)" w:hAnsi="等线(中文正文)" w:cs="等线(中文正文)" w:eastAsia="等线(中文正文)"/>
          <w:b w:val="false"/>
          <w:i w:val="false"/>
          <w:sz w:val="20"/>
        </w:rPr>
        <w:t/>
      </w:r>
    </w:p>
    <w:p>
      <w:pPr>
        <w:pStyle w:val="a7"/>
      </w:pPr>
      <w:r>
        <w:t>发言总结</w:t>
      </w:r>
    </w:p>
    <w:p>
      <w:pPr>
        <w:pStyle w:val="ab"/>
        <w:numPr>
          <w:numId w:val="5"/>
        </w:numPr>
      </w:pPr>
      <w:r>
        <w:t>发言人1</w:t>
      </w:r>
    </w:p>
    <w:p>
      <w:r>
        <w:rPr>
          <w:rFonts w:ascii="等线(中文正文)" w:hAnsi="等线(中文正文)" w:cs="等线(中文正文)" w:eastAsia="等线(中文正文)"/>
          <w:b w:val="false"/>
          <w:i w:val="false"/>
          <w:sz w:val="20"/>
        </w:rPr>
        <w:t>讨论了中国互联网巨头在面对Deep Seek V4等先进AI模型快速发展时的策略选择与模型发展，以及他们在货币化和服务方面的创新。首先，提及Deep Seek V4在2026年4月24日发布，分为Pro和Flash两个版本，显著提升了处理长文本和推理的能力，对中国的AI行业竞争力产生了积极影响。该模型的开放性引发了行业热议。
发言人进一步分析了腾讯和阿里巴巴的模型策略和市场定位，强调了实用主义、专注于实际问题解决及在复杂推理领域的专长。通过采用SOTP（Sum of the Parts）和SOPP（Sum of the Operating Parts）方法，讨论了对这两家公司的估值及面临的运营、外部经济和监管风险。
整个讨论强调了技术突破与商业化策略的重要性，包括持续创新和客户应用。他的发言聚焦于中国互联网巨头在面对先进AI模型发展时的策略选择、模型创新以及在市场中的创新货币化和服务策略，以保持竞争优势。</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问：在面对像Deep Seek V4这样的AI模型快速发展时，中国的互联网巨头如何选择自己的模型发展策略，并通过何种货币化方式和服务争取市场地位？</w:t>
      </w:r>
    </w:p>
    <w:p>
      <w:r>
        <w:rPr>
          <w:rFonts w:ascii="等线(中文正文)" w:hAnsi="等线(中文正文)" w:cs="等线(中文正文)" w:eastAsia="等线(中文正文)"/>
          <w:b w:val="false"/>
          <w:i w:val="false"/>
          <w:sz w:val="20"/>
        </w:rPr>
        <w:t>发言人1 答：在面对Deep Seek V4等AI模型的快速发展，中国互联网巨头采取了积极应对策略。他们不仅关注技术升级，还注重通过开放平台和货币化服务来占据市场优势。例如，在2026年4月24日发布的Deep Seek V4系列，包括Pro和Flash两个版本，上线到开放平台后引发了行业热潮。其中，Deep Seek V4 Pro拥有1.6万亿参数，性能可与GPT5.4和OPPO4.6媲美；而V4 Flash则以284亿参数设计，追求高效能和低成本，使得中国AI模型在全球舞台上成为有力竞争者。</w:t>
      </w:r>
    </w:p>
    <w:p>
      <w:r>
        <w:rPr>
          <w:rFonts w:ascii="等线(中文正文)" w:hAnsi="等线(中文正文)" w:cs="等线(中文正文)" w:eastAsia="等线(中文正文)"/>
          <w:b w:val="false"/>
          <w:i w:val="false"/>
          <w:sz w:val="20"/>
        </w:rPr>
        <w:t/>
      </w:r>
    </w:p>
    <w:p>
      <w:pPr>
        <w:pStyle w:val="ab"/>
      </w:pPr>
      <w:r>
        <w:t>发言人1 问：Deep Seek V4在架构和技术上做了哪些改进以实现对长文本处理和推理效率的大幅提升？</w:t>
      </w:r>
    </w:p>
    <w:p>
      <w:r>
        <w:rPr>
          <w:rFonts w:ascii="等线(中文正文)" w:hAnsi="等线(中文正文)" w:cs="等线(中文正文)" w:eastAsia="等线(中文正文)"/>
          <w:b w:val="false"/>
          <w:i w:val="false"/>
          <w:sz w:val="20"/>
        </w:rPr>
        <w:t>发言人1 答：Deep Seek V4系列采用了创新的CA和HCA混合注意力机制，显著提升了模型处理长文本的效率。同时，它还引入了流行约束超连接技术，对传统残差连接进行优化，使得模型在训练过程中信息传递更加高效。这些技术革新使得V4系列在处理100万token上下文时，单token推理所需计算量降至V3.2的27%，KVKH也只需要10%，从而实现了对长文本高效处理及长时间依赖任务的完成能力。</w:t>
      </w:r>
    </w:p>
    <w:p>
      <w:r>
        <w:rPr>
          <w:rFonts w:ascii="等线(中文正文)" w:hAnsi="等线(中文正文)" w:cs="等线(中文正文)" w:eastAsia="等线(中文正文)"/>
          <w:b w:val="false"/>
          <w:i w:val="false"/>
          <w:sz w:val="20"/>
        </w:rPr>
        <w:t/>
      </w:r>
    </w:p>
    <w:p>
      <w:pPr>
        <w:pStyle w:val="ab"/>
      </w:pPr>
      <w:r>
        <w:t>发言人1 问：Deep Seek V4的不同版本在行业内的表现和排名如何？</w:t>
      </w:r>
    </w:p>
    <w:p>
      <w:r>
        <w:rPr>
          <w:rFonts w:ascii="等线(中文正文)" w:hAnsi="等线(中文正文)" w:cs="等线(中文正文)" w:eastAsia="等线(中文正文)"/>
          <w:b w:val="false"/>
          <w:i w:val="false"/>
          <w:sz w:val="20"/>
        </w:rPr>
        <w:t>发言人1 答：Deep Seek V4 Pro在世界知识数学STEM、编码等多个领域表现出色，排名所有开源模型之首，并在一些评测上超过闭源竞争对手。V4 Flash虽然参数较小，但在简单代理任务上与V4 Pro相当，甚至在推理速度上更快，API定价更便宜，为不同企业提供更灵活的选择。各个企业在模型发展策略上各有侧重，如腾讯强调实用主义，阿里巴巴则主打agent编程和复杂推理，并通过API接口开放服务，以实际效果和商业化能力为主要竞争点。</w:t>
      </w:r>
    </w:p>
    <w:p>
      <w:r>
        <w:rPr>
          <w:rFonts w:ascii="等线(中文正文)" w:hAnsi="等线(中文正文)" w:cs="等线(中文正文)" w:eastAsia="等线(中文正文)"/>
          <w:b w:val="false"/>
          <w:i w:val="false"/>
          <w:sz w:val="20"/>
        </w:rPr>
        <w:t/>
      </w:r>
    </w:p>
    <w:p>
      <w:pPr>
        <w:pStyle w:val="ab"/>
      </w:pPr>
      <w:r>
        <w:t>发言人1 问：阿里巴巴和腾讯的估值和风险分析是基于哪些关键假设和比较对象？</w:t>
      </w:r>
    </w:p>
    <w:p>
      <w:r>
        <w:rPr>
          <w:rFonts w:ascii="等线(中文正文)" w:hAnsi="等线(中文正文)" w:cs="等线(中文正文)" w:eastAsia="等线(中文正文)"/>
          <w:b w:val="false"/>
          <w:i w:val="false"/>
          <w:sz w:val="20"/>
        </w:rPr>
        <w:t>发言人1 答：对于阿里巴巴，H股目标价设定为204港元，N股目标价为205美元，估值方法采用SOTP（Sum of the Parts），分别基于电商集团、云智能集团、AIDC集团和其他业务的市盈率或市销率，并考虑到净现金部分的30%折价。主要风险包括新零售战略推进不顺利、投资力度和利润率压力加大、用户流量和活跃度增长放缓等内部运营风险，以及新收购业务整合不好、全球经济增速下滑、国际贸易摩擦升级以及监管政策变化等外部环境风险。而对于腾讯，目标价设定为783港元，估值时考虑网络游戏、广告社交网络、金融科技和企业服务等各块业务的关键参数，同时也列出了可能面临的下行风险，如核心游戏收入下滑、新游戏表现不佳、王者荣耀热度下降、经济放缓导致广告业务受冲击以及行业监管环境变化等。</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2026-04-26T15:13:54Z</dcterms:created>
  <dc:creator>Apache POI</dc:creator>
</cp:coreProperties>
</file>