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【花旗】研报解读：DeepSeekV4解读260425_原文</w:t>
      </w:r>
    </w:p>
    <w:p>
      <w:pPr>
        <w:jc w:val="center"/>
      </w:pPr>
      <w:r>
        <w:rPr>
          <w:rFonts w:ascii="等线(中文正文)" w:hAnsi="等线(中文正文)" w:cs="等线(中文正文)" w:eastAsia="等线(中文正文)"/>
          <w:b w:val="false"/>
          <w:i w:val="false"/>
          <w:sz w:val="20"/>
        </w:rPr>
        <w:t>2026年04月26日 23:06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今天咱们来聊一聊中国的互联网巨头在面对像deep seek v4这样的AI模型快速发展的情况下，他们是怎么去选择自己的模型发展的策略的。以及他们是怎么通过不同的货币化的方式和服务，去争取在这个市场当中占据一席之地的。没错，你这个确实是现在整个行业都非常关注的一个焦点。那我们就直接开始，咱们先来说说deep sig v4这个模型的发布，以及他背后的技术升级到底带来了一个什么样的影响。因为很多人都在关心，这个东西发布之后，中国的AI行业到底发生了什么样的变化。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00:35</w:t>
      </w:r>
    </w:p>
    <w:p>
      <w:r>
        <w:rPr>
          <w:rFonts w:ascii="等线(中文正文)" w:hAnsi="等线(中文正文)" w:cs="等线(中文正文)" w:eastAsia="等线(中文正文)"/>
          <w:b w:val="false"/>
          <w:i w:val="false"/>
          <w:sz w:val="20"/>
        </w:rPr>
        <w:t>Deep CV4它是在2026年的4月24号亚洲时间发布的。它其实发布了两个版本，一个是pro一个是flash。然后它是直接上线到了hugin face和ModelScope这些开放的平台上面对所以它的这个开放性也是让整个行业一下子就热闹起来了。听起来不仅是技术升级，这种开放的策略也让竞争更加激烈了。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00:56</w:t>
      </w:r>
    </w:p>
    <w:p>
      <w:r>
        <w:rPr>
          <w:rFonts w:ascii="等线(中文正文)" w:hAnsi="等线(中文正文)" w:cs="等线(中文正文)" w:eastAsia="等线(中文正文)"/>
          <w:b w:val="false"/>
          <w:i w:val="false"/>
          <w:sz w:val="20"/>
        </w:rPr>
        <w:t>对，这个V4 pro它是一个1.6万亿参数的模型，然后它激活了49亿参数。在性能上面它是可以和GPT5.4还有OPPO4.6去一较高下的。然后V4 flash它是一个284亿参数，激活了13亿参数。它的设计是为了追求更高的效率和更低的成本。所以这两个版本的发布就意味着中国的这些AI模型在全球的舞台上面已经成为了非常有利的竞争者。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w:t>
      </w:r>
    </w:p>
    <w:p>
      <w:r>
        <w:rPr>
          <w:rFonts w:ascii="等线(中文正文)" w:hAnsi="等线(中文正文)" w:cs="等线(中文正文)" w:eastAsia="等线(中文正文)"/>
          <w:b w:val="false"/>
          <w:i w:val="false"/>
          <w:sz w:val="20"/>
        </w:rPr>
        <w:t>那deep sik v4它到底在架构上面和优化上面做了哪些事情，才能够让他在处理长文本以及推理上面有这么大的提升呢？这个V4系列它最大的亮点就是它采用了CA和HCA混合的注意力机制。这个东西的作用就是它可以非常有效的提升模型在处理长文本时候的效率。然后它还使用了一种叫做流行约束超连接的技术。这个东西其实就是对传统的残差连接做了一个改进，它使得模型在训练的过程当中，信息的传递会更加的高效。这些听本来就非常的复杂，但是确实是非常的厉害。那这些东西到底带来了什么样的实际的效果呢？实际效果就是在100万token的这样的一个上下文下面，V4 pro它做单token的推理所需要的计算量只有V3.2的27%。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02:16</w:t>
      </w:r>
    </w:p>
    <w:p>
      <w:r>
        <w:rPr>
          <w:rFonts w:ascii="等线(中文正文)" w:hAnsi="等线(中文正文)" w:cs="等线(中文正文)" w:eastAsia="等线(中文正文)"/>
          <w:b w:val="false"/>
          <w:i w:val="false"/>
          <w:sz w:val="20"/>
        </w:rPr>
        <w:t>然后它的这个KVKH也只需要10%。这就使得模型能够真正的去处理很长的文本，并且能够更高效的去完成一些需要长时间依赖的这样的任务，这在以前是很难做到的。了解了deep sic v4这2个不同的版本在各种能力上面的表现到底怎么样，然后他们在行业里面的实际的排名是什么样的？V4 pro它是在世界知识数学STEM还有编码这几个方面都是非常厉害。他的他在所有的开源的模型里面是排名第一的。然后他甚至在一些评测上面是可以超过闭源的竞争对手的。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02:52</w:t>
      </w:r>
    </w:p>
    <w:p>
      <w:r>
        <w:rPr>
          <w:rFonts w:ascii="等线(中文正文)" w:hAnsi="等线(中文正文)" w:cs="等线(中文正文)" w:eastAsia="等线(中文正文)"/>
          <w:b w:val="false"/>
          <w:i w:val="false"/>
          <w:sz w:val="20"/>
        </w:rPr>
        <w:t>除了这个gamma 3.1，然后V4 flash虽然它的参数更小，但是它在一些简单的代理任务上面是可以和V4 pro相提并论的。而且它的推理速度会更快，所以它的这个API的定价也会更便宜。就是他在成本和性能之间做了一个非常好的权衡。所以这就是说不同的企业可以根据自己的需求去选择不同的模型。下面咱们就具体来说说各个企业的模型发展的策略和市场的格局到底是怎么样的。然后大家在面对这么快速的模型更新的情况下，是怎么去找到自己的优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03:28</w:t>
      </w:r>
    </w:p>
    <w:p>
      <w:r>
        <w:rPr>
          <w:rFonts w:ascii="等线(中文正文)" w:hAnsi="等线(中文正文)" w:cs="等线(中文正文)" w:eastAsia="等线(中文正文)"/>
          <w:b w:val="false"/>
          <w:i w:val="false"/>
          <w:sz w:val="20"/>
        </w:rPr>
        <w:t>现在这个市场真的是百花齐放，就是大家其实很难说有一个模型可以一统天下。像tencent它的这个HI3.0，它强调的是实用主义，就是他更专注于怎么去解决实际场景中的问题。然后像阿里巴巴他的QN3.6 max它就是主打agent编程和复杂推理。它甚至在好几个编码的评测上面都是排名第一的。它是一个闭源的模型，但是它开放了API接口，所以说大家其实并不是在一个单纯的技术指标上面去卷，更多说的是在实际的效果和商业化的能力上面去竞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04:03</w:t>
      </w:r>
    </w:p>
    <w:p>
      <w:r>
        <w:rPr>
          <w:rFonts w:ascii="等线(中文正文)" w:hAnsi="等线(中文正文)" w:cs="等线(中文正文)" w:eastAsia="等线(中文正文)"/>
          <w:b w:val="false"/>
          <w:i w:val="false"/>
          <w:sz w:val="20"/>
        </w:rPr>
        <w:t>没错，因为现在企业级的用户，他们会非常细致的去比较模型的质量能力和价格。然后他们会根据不同的任务去选择最适合的模型。行。所以对于这些厂商来说，能不能持续的让客户去使用你的模型，通过API和token去赚钱，然后去搭建起自己的完善的服务体系，可能要比单纯的去追求技术的突破更重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04:29</w:t>
      </w:r>
    </w:p>
    <w:p>
      <w:r>
        <w:rPr>
          <w:rFonts w:ascii="等线(中文正文)" w:hAnsi="等线(中文正文)" w:cs="等线(中文正文)" w:eastAsia="等线(中文正文)"/>
          <w:b w:val="false"/>
          <w:i w:val="false"/>
          <w:sz w:val="20"/>
        </w:rPr>
        <w:t>确实是这样的那deep seek v4q one 3.6 max还有这个HY3.0，他们在各种各样的推理知识编码和代理任务的评测上面到底表现怎么样？有没有什么数据可以让我们直观的看到他们的差距？当然有了这个图一就是deep sig v4跟其他的一些主流的模型在多方面的评测上面的一个对比。可以看到就是V4 pro它在MMLU pro simple QA verified，还有这个chinese simple QAGPQA diamond以及live code bench等等这些评测上面都是非常接近，甚至有的时候是超过了GPT5.4和jama 3.1 pro head。然后V4 flash它在大部分的任务上面也都是紧追不舍的，表现也是非常亮眼的。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05:17</w:t>
      </w:r>
    </w:p>
    <w:p>
      <w:r>
        <w:rPr>
          <w:rFonts w:ascii="等线(中文正文)" w:hAnsi="等线(中文正文)" w:cs="等线(中文正文)" w:eastAsia="等线(中文正文)"/>
          <w:b w:val="false"/>
          <w:i w:val="false"/>
          <w:sz w:val="20"/>
        </w:rPr>
        <w:t>那QN3.6 max它在一些实际的有价值的任务和复杂的编码上面表现怎么样？QN3.6 max它它的上下文长度是达到了32K然后他在super GPQA的这个graduate level knowledge上面是拿到了71点6分。在GDPVALAA上面是51分，然后在QN chinese bench上面是84分，在QN club bench上面是59分，在QN web bench上面的1 low rating是1532。在这个NL two rapper和SWE bench pro上面也都有很突出的表现。所以它整体的能力是非常均衡的，而且它在真实的场景下面的任务解决能力也是非常强的。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05:59</w:t>
      </w:r>
    </w:p>
    <w:p>
      <w:r>
        <w:rPr>
          <w:rFonts w:ascii="等线(中文正文)" w:hAnsi="等线(中文正文)" w:cs="等线(中文正文)" w:eastAsia="等线(中文正文)"/>
          <w:b w:val="false"/>
          <w:i w:val="false"/>
          <w:sz w:val="20"/>
        </w:rPr>
        <w:t>然后这个HY3点preview，它在前沿科学和数学推理这些最难的考验当中表现又怎么样呢？HY3点preview它在这个frontier science olympia的上面是63.3%，然后在这个MO answer bench上面是74.9%，在HLE上面是47.8%，在这个GPQA diamond上面是87.2%，在CSBO two five text only past three上面是87.8%。他的这个整体的表现也是非常亮眼的，尤其是在一些需要深入推理和领域知识的这些问题上面，它的表现是非常接近，甚至有的时候是超过了GLM5和KMIK two point five pro的。但是跟GPT5.4X害相比还是有一些差距的。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06:46</w:t>
      </w:r>
    </w:p>
    <w:p>
      <w:r>
        <w:rPr>
          <w:rFonts w:ascii="等线(中文正文)" w:hAnsi="等线(中文正文)" w:cs="等线(中文正文)" w:eastAsia="等线(中文正文)"/>
          <w:b w:val="false"/>
          <w:i w:val="false"/>
          <w:sz w:val="20"/>
        </w:rPr>
        <w:t>明白了，接下来我们就聚焦到阿里巴巴的这个估值和风险上面。我特别想知道就是你们是怎么通过SOTP的方法来给他的H股和N股分别定价的。然后你们在这个过程当中用到了哪些关键的假设和比较的对象。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07:02</w:t>
      </w:r>
    </w:p>
    <w:p>
      <w:r>
        <w:rPr>
          <w:rFonts w:ascii="等线(中文正文)" w:hAnsi="等线(中文正文)" w:cs="等线(中文正文)" w:eastAsia="等线(中文正文)"/>
          <w:b w:val="false"/>
          <w:i w:val="false"/>
          <w:sz w:val="20"/>
        </w:rPr>
        <w:t>我们对于阿里巴巴的H股，我们是给予了一个204港元的目标价。然后N股是给予了一个205美元的目标价。这个计算的方法就是我们对于它的电商集团，我们是用了2027财年的净利润的十倍的市盈率。然后对于他的云智能集团，我们是用了2027财年的营收的6.5倍的市销率。对于AIDC集团，我们是用了二倍的市销率。然后其他的所有的业务我们都是用了一倍的市销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07:33</w:t>
      </w:r>
    </w:p>
    <w:p>
      <w:r>
        <w:rPr>
          <w:rFonts w:ascii="等线(中文正文)" w:hAnsi="等线(中文正文)" w:cs="等线(中文正文)" w:eastAsia="等线(中文正文)"/>
          <w:b w:val="false"/>
          <w:i w:val="false"/>
          <w:sz w:val="20"/>
        </w:rPr>
        <w:t>听起来这些倍数的选择还是很有讲究的，这些目标的倍数其实都是我们基于可比公司的一个估值的水平来定的。然后另外我们也对于它的净现金的部分统一给予了30%的折价。这个也是跟我们覆盖了其他的互联网的同行是一致的。所以最后我们得出的这个SOTP的公允价值就是H股204港元，然后N股是205美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07:59</w:t>
      </w:r>
    </w:p>
    <w:p>
      <w:r>
        <w:rPr>
          <w:rFonts w:ascii="等线(中文正文)" w:hAnsi="等线(中文正文)" w:cs="等线(中文正文)" w:eastAsia="等线(中文正文)"/>
          <w:b w:val="false"/>
          <w:i w:val="false"/>
          <w:sz w:val="20"/>
        </w:rPr>
        <w:t>现在投资阿里巴巴主要会面临哪些下行的风险？首先第一个就是它的新零售的战略如果推进的不顺利，这是一个很大的风险。第二个就是他的投资的力度和利润率的压力，如果比我们想象的还要严重，那这也是一个风险。然后第三个就是他的用户的流量和线上的JMV增长如果持续的放缓，或者说他对品牌和商家的吸引力下降，那这也是一个比较大的问题。这些都是公司内部的一些运营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08:29</w:t>
      </w:r>
    </w:p>
    <w:p>
      <w:r>
        <w:rPr>
          <w:rFonts w:ascii="等线(中文正文)" w:hAnsi="等线(中文正文)" w:cs="等线(中文正文)" w:eastAsia="等线(中文正文)"/>
          <w:b w:val="false"/>
          <w:i w:val="false"/>
          <w:sz w:val="20"/>
        </w:rPr>
        <w:t>那外部的环境，有哪些因素可能会给他带来压力？当然有了，比如说他新收购的这些业务整合的不好，然后中国或者说全球的经济增速下滑了，中美或者说其他的一些主要的贸易国家之间的摩擦升级。以及监管方面的对于产品质量和商家的合规性的一些要求的变化，这些都是非常重要的。外部的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08:51</w:t>
      </w:r>
    </w:p>
    <w:p>
      <w:r>
        <w:rPr>
          <w:rFonts w:ascii="等线(中文正文)" w:hAnsi="等线(中文正文)" w:cs="等线(中文正文)" w:eastAsia="等线(中文正文)"/>
          <w:b w:val="false"/>
          <w:i w:val="false"/>
          <w:sz w:val="20"/>
        </w:rPr>
        <w:t>说完了阿里巴巴，我们再来说说tencent。Tencent的这个估值和风险。我也很想知道就是tencent你们是怎么通过SOPP的方法来给他进行估值的。然后你们在每一块主要的业务上面都用了哪些关键的参数？我们给tent定的这个目标价是783港元。这个是基于我们对他2026年的22.3倍的市盈率和2027年的19.9倍的市盈率来进行估值的。然后具体到每一块业务的话，网络游戏这一块我们是给了2027年的净利润的12倍的市盈率，然后算出来。请关注公众号思维纪要社，更多纪要请加V西安20210130是195港元每股，占我们这个目标价的25%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09:37</w:t>
      </w:r>
    </w:p>
    <w:p>
      <w:r>
        <w:rPr>
          <w:rFonts w:ascii="等线(中文正文)" w:hAnsi="等线(中文正文)" w:cs="等线(中文正文)" w:eastAsia="等线(中文正文)"/>
          <w:b w:val="false"/>
          <w:i w:val="false"/>
          <w:sz w:val="20"/>
        </w:rPr>
        <w:t>广告和社交网络这两块，你们又是怎么来估值的？在线广告我们是给了2027年的净利润的22倍的市盈率，算出来是217港元每股，占比28%。然后社交网络这块我们是给了25倍的市盈率，是190港元每股，占比24%点。金融科技我们是给了15倍的市盈率，是87港元每股，占比11%。然后云集企业服务这块，我们是用了市销率，五倍的市销率是42港元每股，占比5%。最后投资的这个组合，我们是在它的市值基础上打了一个七，折算出来是53港元每股，明白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10:18</w:t>
      </w:r>
    </w:p>
    <w:p>
      <w:r>
        <w:rPr>
          <w:rFonts w:ascii="等线(中文正文)" w:hAnsi="等线(中文正文)" w:cs="等线(中文正文)" w:eastAsia="等线(中文正文)"/>
          <w:b w:val="false"/>
          <w:i w:val="false"/>
          <w:sz w:val="20"/>
        </w:rPr>
        <w:t>那天森现在面临的主要的下行风险都有哪些？首先就是它的这个核心的PC游戏的收入如果下滑的比预期快，或者说他的新的手游上线之后表现不佳，这都是比较大的风险。然后另外就是如果他的这个王者荣耀的热度下降，或者说中国的经济继续放缓，导致他的广告业务受到比较大的冲击，以及行业的监管环境发生比较大的变化，这些都是比较大的下行风险。今天我们聊了最新一代的AI模型在技术上面的突破，然后也聊了这些主流的互联网公司，他们怎么样去选择自己的差异化的道路，以及他们在商业化上面和在实际应用上面的一些激烈的角逐。好了，这期节目咱们就到这里了，然后感谢大家的收听，咱们下期再见，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2026-04-26T15:13:54Z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E6636BB100BBAFBB4581D91E6DDB88D4794CBEFC337DDA68CADD463F44DFE50AEE2B9DEC4D58E1D4A816F7899A1F40B3746FB4C3CD2B283750834C7D5B0FCE061C3A235</vt:lpwstr>
  </property>
</Properties>
</file>