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【清策股谈】长江戴清：公募和外资Q1持仓的共识与分歧-向光而行，拥抱安全 260426_导读</w:t>
      </w:r>
    </w:p>
    <w:p>
      <w:pPr>
        <w:pStyle w:val="a0"/>
        <w:jc w:val="center"/>
      </w:pPr>
      <w:r>
        <w:t>2026年04月26日 23:07</w:t>
      </w:r>
    </w:p>
    <w:p>
      <w:pPr>
        <w:pStyle w:val="a7"/>
      </w:pPr>
      <w:r>
        <w:t>关键词</w:t>
      </w:r>
    </w:p>
    <w:p>
      <w:r>
        <w:rPr>
          <w:rFonts w:ascii="等线(中文正文)" w:hAnsi="等线(中文正文)" w:cs="等线(中文正文)" w:eastAsia="等线(中文正文)"/>
          <w:b w:val="false"/>
          <w:i w:val="false"/>
          <w:sz w:val="20"/>
        </w:rPr>
        <w:t xml:space="preserve">公募基金 AI基建 能源安全 光模块 新能源 煤炭 油气 家电 汽车 有色 外资 TMT 传媒 地产链 零售 红利 半导体 热门赛道 港股 创业板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上周市场关注焦点为市场指数位置与AI基建、能源安全领域，投资者对市场筹码集中度和交易感到困惑，讨论转向公募基金与外资持仓情况。公募基金偏好AI基建与能源安全投资，而外资关注低估值及景气度变化领域，内资则青睐高景气行业。港股被认为处于1到2年底部，需关注产业占比与流动性，A股市场存在分歧，制造业与出口被视为关键增长点。未来市场趋势可能由中国制造与出口强劲推动，关注AI基建、电力、算力及能源安全。市场将逐渐聚焦现金流改善的消费品，全年指数点位预计乐观。建议投资者保持乐观，关注产业变化与底部反转行业，展望积极。</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市场热点分析：公募基金与外资持仓对比</w:t>
      </w:r>
    </w:p>
    <w:p>
      <w:r>
        <w:rPr>
          <w:rFonts w:ascii="等线(中文正文)" w:hAnsi="等线(中文正文)" w:cs="等线(中文正文)" w:eastAsia="等线(中文正文)"/>
          <w:b w:val="false"/>
          <w:i w:val="false"/>
          <w:sz w:val="20"/>
        </w:rPr>
        <w:t>讨论了市场热点，包括AI基建和能源安全相关投资。分析了公募基金和外资在一季度的持仓变化，指出公募基金倾向于AI基建和能源安全，而外资对低估值地产链和零售更感兴趣，同时外资在TMT、传媒煤有增持。强调了内资与外资考核久期差异对持仓选择的影响。</w:t>
      </w:r>
    </w:p>
    <w:p>
      <w:r>
        <w:rPr>
          <w:rFonts w:ascii="等线(中文正文)" w:hAnsi="等线(中文正文)" w:cs="等线(中文正文)" w:eastAsia="等线(中文正文)"/>
          <w:b w:val="false"/>
          <w:i w:val="false"/>
          <w:sz w:val="20"/>
        </w:rPr>
        <w:t/>
      </w:r>
    </w:p>
    <w:p>
      <w:pPr>
        <w:pStyle w:val="ab"/>
        <w:numPr>
          <w:numId w:val="2"/>
        </w:numPr>
      </w:pPr>
      <w:r>
        <w:t>02:51 A股与港股投资策略分析及市场动态</w:t>
      </w:r>
    </w:p>
    <w:p>
      <w:r>
        <w:rPr>
          <w:rFonts w:ascii="等线(中文正文)" w:hAnsi="等线(中文正文)" w:cs="等线(中文正文)" w:eastAsia="等线(中文正文)"/>
          <w:b w:val="false"/>
          <w:i w:val="false"/>
          <w:sz w:val="20"/>
        </w:rPr>
        <w:t>对话详细分析了A股与港股的投资策略，指出A股在创业板和中证500方面增持，而港股则有减仓趋势。A股主板连续下滑，科创和创业板加仓，港股持仓比例下降。针对港股，讨论了其是否达到大底及配置建议，强调需了解下跌原因和边际变化。</w:t>
      </w:r>
    </w:p>
    <w:p>
      <w:r>
        <w:rPr>
          <w:rFonts w:ascii="等线(中文正文)" w:hAnsi="等线(中文正文)" w:cs="等线(中文正文)" w:eastAsia="等线(中文正文)"/>
          <w:b w:val="false"/>
          <w:i w:val="false"/>
          <w:sz w:val="20"/>
        </w:rPr>
        <w:t/>
      </w:r>
    </w:p>
    <w:p>
      <w:pPr>
        <w:pStyle w:val="ab"/>
        <w:numPr>
          <w:numId w:val="3"/>
        </w:numPr>
      </w:pPr>
      <w:r>
        <w:t>05:55 港股与A股市场表现差异分析</w:t>
      </w:r>
    </w:p>
    <w:p>
      <w:r>
        <w:rPr>
          <w:rFonts w:ascii="等线(中文正文)" w:hAnsi="等线(中文正文)" w:cs="等线(中文正文)" w:eastAsia="等线(中文正文)"/>
          <w:b w:val="false"/>
          <w:i w:val="false"/>
          <w:sz w:val="20"/>
        </w:rPr>
        <w:t>港股近期表现弱于A股，主要因产业结构差异，港股偏重软科技与消费，A股则侧重硬科技与资源品。港股面临流动性、消费复苏预期及AI应用权重高等压力，但随着格局变化、流动性和地产预期的调整，港股底部迹象显现。A股方面，周期与制造行业配置上升，消费与科技边际下降，公募基金增配电信、化工、石化等行业。</w:t>
      </w:r>
    </w:p>
    <w:p>
      <w:r>
        <w:rPr>
          <w:rFonts w:ascii="等线(中文正文)" w:hAnsi="等线(中文正文)" w:cs="等线(中文正文)" w:eastAsia="等线(中文正文)"/>
          <w:b w:val="false"/>
          <w:i w:val="false"/>
          <w:sz w:val="20"/>
        </w:rPr>
        <w:t/>
      </w:r>
    </w:p>
    <w:p>
      <w:pPr>
        <w:pStyle w:val="ab"/>
        <w:numPr>
          <w:numId w:val="4"/>
        </w:numPr>
      </w:pPr>
      <w:r>
        <w:t>11:07 2026年一季度行业持仓变化及AI、能源安全影响</w:t>
      </w:r>
    </w:p>
    <w:p>
      <w:r>
        <w:rPr>
          <w:rFonts w:ascii="等线(中文正文)" w:hAnsi="等线(中文正文)" w:cs="等线(中文正文)" w:eastAsia="等线(中文正文)"/>
          <w:b w:val="false"/>
          <w:i w:val="false"/>
          <w:sz w:val="20"/>
        </w:rPr>
        <w:t>对话讨论了2026年一季度行业持仓变化，指出电子行业持仓虽高但非魔咒，AI相关行业如电信、化工、油气石化等持仓增加，而受成本和指数波动影响，家电、汽车、非银等行业减持。强调AI革命与能源安全成为行业趋势，持仓变化反映经济环境与技术革新影响。</w:t>
      </w:r>
    </w:p>
    <w:p>
      <w:r>
        <w:rPr>
          <w:rFonts w:ascii="等线(中文正文)" w:hAnsi="等线(中文正文)" w:cs="等线(中文正文)" w:eastAsia="等线(中文正文)"/>
          <w:b w:val="false"/>
          <w:i w:val="false"/>
          <w:sz w:val="20"/>
        </w:rPr>
        <w:t/>
      </w:r>
    </w:p>
    <w:p>
      <w:pPr>
        <w:pStyle w:val="ab"/>
        <w:numPr>
          <w:numId w:val="5"/>
        </w:numPr>
      </w:pPr>
      <w:r>
        <w:t>14:58 二级与三级行业加减仓分析及热门赛道变化</w:t>
      </w:r>
    </w:p>
    <w:p>
      <w:r>
        <w:rPr>
          <w:rFonts w:ascii="等线(中文正文)" w:hAnsi="等线(中文正文)" w:cs="等线(中文正文)" w:eastAsia="等线(中文正文)"/>
          <w:b w:val="false"/>
          <w:i w:val="false"/>
          <w:sz w:val="20"/>
        </w:rPr>
        <w:t>对话详细分析了二级行业加仓与减仓情况，加仓主要集中在通信设备、半导体等，而减仓则在消费电子、保险等行业。三级行业分析聚焦于红利行业、出口链和热门赛道的变化，如油气煤炭的加仓与保险运营商的减仓，以及商用航天和AI应用的减仓与6G、量子科技的加仓。</w:t>
      </w:r>
    </w:p>
    <w:p>
      <w:r>
        <w:rPr>
          <w:rFonts w:ascii="等线(中文正文)" w:hAnsi="等线(中文正文)" w:cs="等线(中文正文)" w:eastAsia="等线(中文正文)"/>
          <w:b w:val="false"/>
          <w:i w:val="false"/>
          <w:sz w:val="20"/>
        </w:rPr>
        <w:t/>
      </w:r>
    </w:p>
    <w:p>
      <w:pPr>
        <w:pStyle w:val="ab"/>
        <w:numPr>
          <w:numId w:val="6"/>
        </w:numPr>
      </w:pPr>
      <w:r>
        <w:t>18:52 行业投资策略：金属与食品饮料的加仓减仓分析</w:t>
      </w:r>
    </w:p>
    <w:p>
      <w:r>
        <w:rPr>
          <w:rFonts w:ascii="等线(中文正文)" w:hAnsi="等线(中文正文)" w:cs="等线(中文正文)" w:eastAsia="等线(中文正文)"/>
          <w:b w:val="false"/>
          <w:i w:val="false"/>
          <w:sz w:val="20"/>
        </w:rPr>
        <w:t>讨论了金属行业因全球经济担忧而产生的分歧，加仓确定性高的资源如黄金、稀土和新能源相关金属，减仓不确定性高的工业金属。食品饮料行业方面，调味品因其现金流改善和格局优化被看好，而软饮料和白酒因库存未达安全水平仍在优化中。投资者应关注消费行业的乐观点，特别是在自由现金流改善的必选消费领域。</w:t>
      </w:r>
    </w:p>
    <w:p>
      <w:r>
        <w:rPr>
          <w:rFonts w:ascii="等线(中文正文)" w:hAnsi="等线(中文正文)" w:cs="等线(中文正文)" w:eastAsia="等线(中文正文)"/>
          <w:b w:val="false"/>
          <w:i w:val="false"/>
          <w:sz w:val="20"/>
        </w:rPr>
        <w:t/>
      </w:r>
    </w:p>
    <w:p>
      <w:pPr>
        <w:pStyle w:val="ab"/>
        <w:numPr>
          <w:numId w:val="7"/>
        </w:numPr>
      </w:pPr>
      <w:r>
        <w:t>21:45 公募基金加仓光模块与锂电池，减仓消费电子与光伏</w:t>
      </w:r>
    </w:p>
    <w:p>
      <w:r>
        <w:rPr>
          <w:rFonts w:ascii="等线(中文正文)" w:hAnsi="等线(中文正文)" w:cs="等线(中文正文)" w:eastAsia="等线(中文正文)"/>
          <w:b w:val="false"/>
          <w:i w:val="false"/>
          <w:sz w:val="20"/>
        </w:rPr>
        <w:t>对话聚焦于公募基金对不同行业板块的加仓与减仓策略，重点提及光模块、锂电池因高景气度被加仓，而消费电子、光伏等因成本上升或订单不确定性被减仓。同时，医药、TMT电子等行业内部也存在分歧，整体反映出市场对高景气度领域的偏好及对成本压力行业的谨慎态度。</w:t>
      </w:r>
    </w:p>
    <w:p>
      <w:r>
        <w:rPr>
          <w:rFonts w:ascii="等线(中文正文)" w:hAnsi="等线(中文正文)" w:cs="等线(中文正文)" w:eastAsia="等线(中文正文)"/>
          <w:b w:val="false"/>
          <w:i w:val="false"/>
          <w:sz w:val="20"/>
        </w:rPr>
        <w:t/>
      </w:r>
    </w:p>
    <w:p>
      <w:pPr>
        <w:pStyle w:val="ab"/>
        <w:numPr>
          <w:numId w:val="8"/>
        </w:numPr>
      </w:pPr>
      <w:r>
        <w:t>26:39 外资与内资在A股市场持仓行为的差异分析</w:t>
      </w:r>
    </w:p>
    <w:p>
      <w:r>
        <w:rPr>
          <w:rFonts w:ascii="等线(中文正文)" w:hAnsi="等线(中文正文)" w:cs="等线(中文正文)" w:eastAsia="等线(中文正文)"/>
          <w:b w:val="false"/>
          <w:i w:val="false"/>
          <w:sz w:val="20"/>
        </w:rPr>
        <w:t>一季度外资A股持仓市值环比减少，超配比例上升的行业包括传媒、环保、交运等，对地产、零售等低估值板块开始布局，而内资更倾向于景气方向，双方在景气度高与低估值板块上存在分歧，外资的长考核久期使其对反转板块提前布局，提示市场需关注传统低估值板块的潜在价值。</w:t>
      </w:r>
    </w:p>
    <w:p>
      <w:r>
        <w:rPr>
          <w:rFonts w:ascii="等线(中文正文)" w:hAnsi="等线(中文正文)" w:cs="等线(中文正文)" w:eastAsia="等线(中文正文)"/>
          <w:b w:val="false"/>
          <w:i w:val="false"/>
          <w:sz w:val="20"/>
        </w:rPr>
        <w:t/>
      </w:r>
    </w:p>
    <w:p>
      <w:pPr>
        <w:pStyle w:val="ab"/>
        <w:numPr>
          <w:numId w:val="9"/>
        </w:numPr>
      </w:pPr>
      <w:r>
        <w:t>30:00 长江策略团队：市场超预期增长与未来投资主线</w:t>
      </w:r>
    </w:p>
    <w:p>
      <w:r>
        <w:rPr>
          <w:rFonts w:ascii="等线(中文正文)" w:hAnsi="等线(中文正文)" w:cs="等线(中文正文)" w:eastAsia="等线(中文正文)"/>
          <w:b w:val="false"/>
          <w:i w:val="false"/>
          <w:sz w:val="20"/>
        </w:rPr>
        <w:t>长江策略团队分析了市场超预期增长的原因，主要归功于中国制造与出口的强劲表现，特别是海外市场的复苏预期。团队推荐的投资主线包括AI基建、电力、存力、算力、能源安全、新能源转型、旧能源补库等，强调了芯片、AI应用、商业航天等领域的突破性机会。全年指数目标未下修，预计三季度表现更佳。团队鼓励投资者保持乐观，关注产业变化，享受慢牛市场。</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长江策证券策略首席分析师戴清，在报告中分享了本周市场热点，包括市场指数位置、AI基建、能源安全投资领域等，以及投资者对市场筹码分布和交易集中度的困惑。报告重点分析了公募基金和外资的持仓情况，指出公募基金偏好AI基建和能源安全领域，外资开始对低估值行业感兴趣。A股中主板、科创板、创业板持仓趋势各异，港股持仓比例下降，但可能接近长期底部。戴清还讨论了基金持仓变动，强调了中国制造、出口对市场盈利的贡献，看好AI基建、新能源转型等领域的未来，并建议投资者关注市场反转机会。最后，戴清鼓励投资者关注团队的公众号，表示将继续分享市场分析和投资策略。</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问：上周市场关注的热点有哪些？</w:t>
      </w:r>
    </w:p>
    <w:p>
      <w:r>
        <w:rPr>
          <w:rFonts w:ascii="等线(中文正文)" w:hAnsi="等线(中文正文)" w:cs="等线(中文正文)" w:eastAsia="等线(中文正文)"/>
          <w:b w:val="false"/>
          <w:i w:val="false"/>
          <w:sz w:val="20"/>
        </w:rPr>
        <w:t>发言人1 答：上周市场关注的热点主要包括市场指数位置、AI基建相关行业（如光模块、能源安全，包括新能源和煤炭油气等）以及公募基金和外资持仓情况。</w:t>
      </w:r>
    </w:p>
    <w:p>
      <w:r>
        <w:rPr>
          <w:rFonts w:ascii="等线(中文正文)" w:hAnsi="等线(中文正文)" w:cs="等线(中文正文)" w:eastAsia="等线(中文正文)"/>
          <w:b w:val="false"/>
          <w:i w:val="false"/>
          <w:sz w:val="20"/>
        </w:rPr>
        <w:t/>
      </w:r>
    </w:p>
    <w:p>
      <w:pPr>
        <w:pStyle w:val="ab"/>
      </w:pPr>
      <w:r>
        <w:t>发言人1 问：公募基金的主要持仓特点是什么？海外投资者（北向资金）在一季度的加仓和减仓方向是什么？</w:t>
      </w:r>
    </w:p>
    <w:p>
      <w:r>
        <w:rPr>
          <w:rFonts w:ascii="等线(中文正文)" w:hAnsi="等线(中文正文)" w:cs="等线(中文正文)" w:eastAsia="等线(中文正文)"/>
          <w:b w:val="false"/>
          <w:i w:val="false"/>
          <w:sz w:val="20"/>
        </w:rPr>
        <w:t>发言人1 答：公募基金的主要持仓特点是向光而行，拥抱安全，主要集中在AI基建特别是光模块领域，并且增加了能源安全相关的投资，比如新能源和煤炭油气。同时，对于家电、汽车以及部分受外围影响的有色等行业的配置有所减少。海外投资者在一季度对光模块、电信等有所加仓，但对有色、外汇相关的行业进行了减持。</w:t>
      </w:r>
    </w:p>
    <w:p>
      <w:r>
        <w:rPr>
          <w:rFonts w:ascii="等线(中文正文)" w:hAnsi="等线(中文正文)" w:cs="等线(中文正文)" w:eastAsia="等线(中文正文)"/>
          <w:b w:val="false"/>
          <w:i w:val="false"/>
          <w:sz w:val="20"/>
        </w:rPr>
        <w:t/>
      </w:r>
    </w:p>
    <w:p>
      <w:pPr>
        <w:pStyle w:val="ab"/>
      </w:pPr>
      <w:r>
        <w:t>发言人1 问：内资与外资在持仓上的最大分歧体现在哪些方面？</w:t>
      </w:r>
    </w:p>
    <w:p>
      <w:r>
        <w:rPr>
          <w:rFonts w:ascii="等线(中文正文)" w:hAnsi="等线(中文正文)" w:cs="等线(中文正文)" w:eastAsia="等线(中文正文)"/>
          <w:b w:val="false"/>
          <w:i w:val="false"/>
          <w:sz w:val="20"/>
        </w:rPr>
        <w:t>发言人1 答：最大的分歧在于对国内低估值板块的看法，外资出于97年原因有加仓行为，而内资则更倾向于TMT、传媒和煤等行业的底部布局。此外，外资对于底部偏左侧、跌幅较大的品种也表现出兴趣。</w:t>
      </w:r>
    </w:p>
    <w:p>
      <w:r>
        <w:rPr>
          <w:rFonts w:ascii="等线(中文正文)" w:hAnsi="等线(中文正文)" w:cs="等线(中文正文)" w:eastAsia="等线(中文正文)"/>
          <w:b w:val="false"/>
          <w:i w:val="false"/>
          <w:sz w:val="20"/>
        </w:rPr>
        <w:t/>
      </w:r>
    </w:p>
    <w:p>
      <w:pPr>
        <w:pStyle w:val="ab"/>
      </w:pPr>
      <w:r>
        <w:t>发言人1 问：A股和港股的核心指数风格和行业配置如何？</w:t>
      </w:r>
    </w:p>
    <w:p>
      <w:r>
        <w:rPr>
          <w:rFonts w:ascii="等线(中文正文)" w:hAnsi="等线(中文正文)" w:cs="等线(中文正文)" w:eastAsia="等线(中文正文)"/>
          <w:b w:val="false"/>
          <w:i w:val="false"/>
          <w:sz w:val="20"/>
        </w:rPr>
        <w:t>发言人1 答：A股整体上对创业板和中证500进行了增持，而对港股则是边际减仓。在国内公募基金方面，周期和制造风格边际加仓，消费和科技小部分减仓，红利类因煤炭和油的加仓而增加配置，出口相关的半导体也在加仓，TMT内部硬件加仓、软件减仓。</w:t>
      </w:r>
    </w:p>
    <w:p>
      <w:r>
        <w:rPr>
          <w:rFonts w:ascii="等线(中文正文)" w:hAnsi="等线(中文正文)" w:cs="等线(中文正文)" w:eastAsia="等线(中文正文)"/>
          <w:b w:val="false"/>
          <w:i w:val="false"/>
          <w:sz w:val="20"/>
        </w:rPr>
        <w:t/>
      </w:r>
    </w:p>
    <w:p>
      <w:pPr>
        <w:pStyle w:val="ab"/>
      </w:pPr>
      <w:r>
        <w:t>发言人1 问：对于港股市场的看法如何？港股相较于A股为何表现相对较弱？</w:t>
      </w:r>
    </w:p>
    <w:p>
      <w:r>
        <w:rPr>
          <w:rFonts w:ascii="等线(中文正文)" w:hAnsi="等线(中文正文)" w:cs="等线(中文正文)" w:eastAsia="等线(中文正文)"/>
          <w:b w:val="false"/>
          <w:i w:val="false"/>
          <w:sz w:val="20"/>
        </w:rPr>
        <w:t>发言人1 答：我们认为港股已经进入1到2年的大底，其下跌的核心原因在于产业链占比结构差异导致的业绩和估值重估不足，以及流动性压力（地缘摩擦、IPO增多）和消费部门复苏预期偏弱。然而，港股也存在硬科技制造（如锂电池），只是比例较少，未能在指数层面体现牛市行情。港股由于其权重股集中在零售型互联网、软件和消费汽车等领域，相较于受益于能源安全和AI基建爆发的A股，在业绩和估值提升上未能形成正向循环，因此表现相对较弱。</w:t>
      </w:r>
    </w:p>
    <w:p>
      <w:r>
        <w:rPr>
          <w:rFonts w:ascii="等线(中文正文)" w:hAnsi="等线(中文正文)" w:cs="等线(中文正文)" w:eastAsia="等线(中文正文)"/>
          <w:b w:val="false"/>
          <w:i w:val="false"/>
          <w:sz w:val="20"/>
        </w:rPr>
        <w:t/>
      </w:r>
    </w:p>
    <w:p>
      <w:pPr>
        <w:pStyle w:val="ab"/>
      </w:pPr>
      <w:r>
        <w:t>发言人1 问：对于未来港股市场的预期是怎样的？</w:t>
      </w:r>
    </w:p>
    <w:p>
      <w:r>
        <w:rPr>
          <w:rFonts w:ascii="等线(中文正文)" w:hAnsi="等线(中文正文)" w:cs="等线(中文正文)" w:eastAsia="等线(中文正文)"/>
          <w:b w:val="false"/>
          <w:i w:val="false"/>
          <w:sz w:val="20"/>
        </w:rPr>
        <w:t>发言人1 答：随着美伊冲突影响逐渐减弱，流动性冲击预计在今年二三季度达到顶峰后会弱化，同时地产链预期也开始出现分歧。因此，我们判断港股尤其是恒生科技指数已逐步接近大底，未来可能出现回升态势。</w:t>
      </w:r>
    </w:p>
    <w:p>
      <w:r>
        <w:rPr>
          <w:rFonts w:ascii="等线(中文正文)" w:hAnsi="等线(中文正文)" w:cs="等线(中文正文)" w:eastAsia="等线(中文正文)"/>
          <w:b w:val="false"/>
          <w:i w:val="false"/>
          <w:sz w:val="20"/>
        </w:rPr>
        <w:t/>
      </w:r>
    </w:p>
    <w:p>
      <w:pPr>
        <w:pStyle w:val="ab"/>
      </w:pPr>
      <w:r>
        <w:t>发言人1 问：A股市场中，哪些行业的配置比例出现了上升？</w:t>
      </w:r>
    </w:p>
    <w:p>
      <w:r>
        <w:rPr>
          <w:rFonts w:ascii="等线(中文正文)" w:hAnsi="等线(中文正文)" w:cs="等线(中文正文)" w:eastAsia="等线(中文正文)"/>
          <w:b w:val="false"/>
          <w:i w:val="false"/>
          <w:sz w:val="20"/>
        </w:rPr>
        <w:t>发言人1 答：在A股市场中，周期和制造行业的配置比例有所上升，而消费和科技行业的配置比例则出现下降。具体到一级行业中，电子、电信、医疗保健、金属等行业的绝对超配比例较为靠前。</w:t>
      </w:r>
    </w:p>
    <w:p>
      <w:r>
        <w:rPr>
          <w:rFonts w:ascii="等线(中文正文)" w:hAnsi="等线(中文正文)" w:cs="等线(中文正文)" w:eastAsia="等线(中文正文)"/>
          <w:b w:val="false"/>
          <w:i w:val="false"/>
          <w:sz w:val="20"/>
        </w:rPr>
        <w:t/>
      </w:r>
    </w:p>
    <w:p>
      <w:pPr>
        <w:pStyle w:val="ab"/>
      </w:pPr>
      <w:r>
        <w:t>发言人1 问：一季度公募基金配置比例提升较快的行业有哪些？当前公募基金持仓占比最高的行业是什么？</w:t>
      </w:r>
    </w:p>
    <w:p>
      <w:r>
        <w:rPr>
          <w:rFonts w:ascii="等线(中文正文)" w:hAnsi="等线(中文正文)" w:cs="等线(中文正文)" w:eastAsia="等线(中文正文)"/>
          <w:b w:val="false"/>
          <w:i w:val="false"/>
          <w:sz w:val="20"/>
        </w:rPr>
        <w:t>发言人1 答：一季度公募基金配置比例提升较快的行业主要包括电信业务、化工、油气、石化、煤炭、机械、建筑、银行、建材等。其中，增配较多的五个行业分别是电信、化工、石化、煤炭和电信。目前公募基金持仓最多的行业是电子，持仓占比为23%，其次依次是电信、医疗保健、金属、化工、机械、食品饮料、汽车、家电、银行等行业。</w:t>
      </w:r>
    </w:p>
    <w:p>
      <w:r>
        <w:rPr>
          <w:rFonts w:ascii="等线(中文正文)" w:hAnsi="等线(中文正文)" w:cs="等线(中文正文)" w:eastAsia="等线(中文正文)"/>
          <w:b w:val="false"/>
          <w:i w:val="false"/>
          <w:sz w:val="20"/>
        </w:rPr>
        <w:t/>
      </w:r>
    </w:p>
    <w:p>
      <w:pPr>
        <w:pStyle w:val="ab"/>
      </w:pPr>
      <w:r>
        <w:t>发言人1 问：与去年相比，哪些行业的持仓比例变化较大？</w:t>
      </w:r>
    </w:p>
    <w:p>
      <w:r>
        <w:rPr>
          <w:rFonts w:ascii="等线(中文正文)" w:hAnsi="等线(中文正文)" w:cs="等线(中文正文)" w:eastAsia="等线(中文正文)"/>
          <w:b w:val="false"/>
          <w:i w:val="false"/>
          <w:sz w:val="20"/>
        </w:rPr>
        <w:t>发言人1 答：相较于去年，2023年一季度公募基金持仓变化较大的行业中，提升幅度较大的有电信（光模块提升1.7个点）、化工（提升1.2个点）、油气石化（提升0.6至0.7个点）、煤炭（提升0.4个点）以及电芯（提升0.5个点）。而减持较多的行业主要是消费电子、家电、汽车、保安险、非银（券商）等。</w:t>
      </w:r>
    </w:p>
    <w:p>
      <w:r>
        <w:rPr>
          <w:rFonts w:ascii="等线(中文正文)" w:hAnsi="等线(中文正文)" w:cs="等线(中文正文)" w:eastAsia="等线(中文正文)"/>
          <w:b w:val="false"/>
          <w:i w:val="false"/>
          <w:sz w:val="20"/>
        </w:rPr>
        <w:t/>
      </w:r>
    </w:p>
    <w:p>
      <w:pPr>
        <w:pStyle w:val="ab"/>
      </w:pPr>
      <w:r>
        <w:t>发言人1 问：目前公募基金在一级行业上的加仓和减仓情况如何？在三级行业内，有哪些行业的持仓变化值得关注？</w:t>
      </w:r>
    </w:p>
    <w:p>
      <w:r>
        <w:rPr>
          <w:rFonts w:ascii="等线(中文正文)" w:hAnsi="等线(中文正文)" w:cs="等线(中文正文)" w:eastAsia="等线(中文正文)"/>
          <w:b w:val="false"/>
          <w:i w:val="false"/>
          <w:sz w:val="20"/>
        </w:rPr>
        <w:t>发言人1 答：在一级行业上，公募基金加仓较多的行业包括通信设备、半导体、油气开采（石油）、农业、化工、能源车设备（锂电池、海韵电器设备）、贵金属、医疗服务、煤炭、精细化工跟锂相关的行业。减仓较多的行业则有零部件、元器件（消费电子）、基本有色（特别是铜铝）、家用电器、汽车零部件、非银（保险和证券）、娱乐和制药等行业。在三级行业内，红利行业在最近一个季度被增持，特别是煤炭和石油关注度提升，同时油气跟煤炭、铁路和电力等行业也是加仓重点。减仓方面，保险运营商跟随景气度走，而像汽车零部件、消费电子、家用电器、光伏等有所减仓，但半导体和显示器件得到加仓。热门赛道如商用航天、AI应用等主题投资阶段兑现强烈，而6G、量子科技、机器人、好机接口等概念有所上升，显示出较大的分化。</w:t>
      </w:r>
    </w:p>
    <w:p>
      <w:r>
        <w:rPr>
          <w:rFonts w:ascii="等线(中文正文)" w:hAnsi="等线(中文正文)" w:cs="等线(中文正文)" w:eastAsia="等线(中文正文)"/>
          <w:b w:val="false"/>
          <w:i w:val="false"/>
          <w:sz w:val="20"/>
        </w:rPr>
        <w:t/>
      </w:r>
    </w:p>
    <w:p>
      <w:pPr>
        <w:pStyle w:val="ab"/>
      </w:pPr>
      <w:r>
        <w:t>发言人1 问：在金属行业上，公募基金的加仓和减仓情况是如何体现的？食品饮料行业中，哪些子行业受到了公募基金的关注并进行了加仓或减仓操作？</w:t>
      </w:r>
    </w:p>
    <w:p>
      <w:r>
        <w:rPr>
          <w:rFonts w:ascii="等线(中文正文)" w:hAnsi="等线(中文正文)" w:cs="等线(中文正文)" w:eastAsia="等线(中文正文)"/>
          <w:b w:val="false"/>
          <w:i w:val="false"/>
          <w:sz w:val="20"/>
        </w:rPr>
        <w:t>发言人1 答：公募基金在金属行业上表现出明显的分歧。黄金、稀土、铅锌锂、特钢、武钢等被认为是战略性资源或与新能源、能源安全相关的部分被加仓；而与全球经济密切相关的工业金属如铜铝以及库存尚未达到历史极端安全水平的软饮料和白酒则经历了减仓。这种加仓与减仓的差别反映出市场对于景气度的判断不一，确定性较好的部分被加仓，不确定性较高的部分则被减仓。在食品饮料行业中，调味品是被加仓的，因为其库存效率和格局优化在进行中，现金流改善吸引了长线资金布局。而软饮料和白酒尽管有所减仓，但库存尚未达到历史极端安全水平，格局仍在优化过程中。</w:t>
      </w:r>
    </w:p>
    <w:p>
      <w:r>
        <w:rPr>
          <w:rFonts w:ascii="等线(中文正文)" w:hAnsi="等线(中文正文)" w:cs="等线(中文正文)" w:eastAsia="等线(中文正文)"/>
          <w:b w:val="false"/>
          <w:i w:val="false"/>
          <w:sz w:val="20"/>
        </w:rPr>
        <w:t/>
      </w:r>
    </w:p>
    <w:p>
      <w:pPr>
        <w:pStyle w:val="ab"/>
      </w:pPr>
      <w:r>
        <w:t>发言人1 问：医药和TMT行业中，公募基金有哪些加仓和减仓的行为？</w:t>
      </w:r>
    </w:p>
    <w:p>
      <w:r>
        <w:rPr>
          <w:rFonts w:ascii="等线(中文正文)" w:hAnsi="等线(中文正文)" w:cs="等线(中文正文)" w:eastAsia="等线(中文正文)"/>
          <w:b w:val="false"/>
          <w:i w:val="false"/>
          <w:sz w:val="20"/>
        </w:rPr>
        <w:t>发言人1 答：在医药行业中，公募基金对CL cmo进行了加仓，而对于化学制药和生物制品则有所减仓。在TMT行业中，电子板块配置最多，其中消费电子因成本上升而需求担忧而减仓，而半导体设备、半导体材料等景气度爆发的领域得到加仓。光模块板块持仓陡峭化上升至接近12个点，显示出了高景气特征。</w:t>
      </w:r>
    </w:p>
    <w:p>
      <w:r>
        <w:rPr>
          <w:rFonts w:ascii="等线(中文正文)" w:hAnsi="等线(中文正文)" w:cs="等线(中文正文)" w:eastAsia="等线(中文正文)"/>
          <w:b w:val="false"/>
          <w:i w:val="false"/>
          <w:sz w:val="20"/>
        </w:rPr>
        <w:t/>
      </w:r>
    </w:p>
    <w:p>
      <w:pPr>
        <w:pStyle w:val="ab"/>
      </w:pPr>
      <w:r>
        <w:t>发言人1 问：对于中游制造领域，尤其是电信板块，公募基金是如何配置的？</w:t>
      </w:r>
    </w:p>
    <w:p>
      <w:r>
        <w:rPr>
          <w:rFonts w:ascii="等线(中文正文)" w:hAnsi="等线(中文正文)" w:cs="等线(中文正文)" w:eastAsia="等线(中文正文)"/>
          <w:b w:val="false"/>
          <w:i w:val="false"/>
          <w:sz w:val="20"/>
        </w:rPr>
        <w:t>发言人1 答：在中游制造领域中，电信板块成为关注焦点，尤其是电芯板块，在光模块之后成为今年创业板上涨的第二大源头。公募基金对电网硬件、锂电池、电池材料等与美国缺电问题相关的方向进行了明显的加仓，而对于光伏制造和工业自动化电源设备等则进行了减仓。</w:t>
      </w:r>
    </w:p>
    <w:p>
      <w:r>
        <w:rPr>
          <w:rFonts w:ascii="等线(中文正文)" w:hAnsi="等线(中文正文)" w:cs="等线(中文正文)" w:eastAsia="等线(中文正文)"/>
          <w:b w:val="false"/>
          <w:i w:val="false"/>
          <w:sz w:val="20"/>
        </w:rPr>
        <w:t/>
      </w:r>
    </w:p>
    <w:p>
      <w:pPr>
        <w:pStyle w:val="ab"/>
      </w:pPr>
      <w:r>
        <w:t>发言人1 问：外资在A股市场的交易情况以及持仓变化如何？</w:t>
      </w:r>
    </w:p>
    <w:p>
      <w:r>
        <w:rPr>
          <w:rFonts w:ascii="等线(中文正文)" w:hAnsi="等线(中文正文)" w:cs="等线(中文正文)" w:eastAsia="等线(中文正文)"/>
          <w:b w:val="false"/>
          <w:i w:val="false"/>
          <w:sz w:val="20"/>
        </w:rPr>
        <w:t>发言人1 答：外资一季度环比有所减少，对于A股持仓整体呈上行趋势。前十大持仓中机械设备和交通运输部分加仓，其他部门减仓。外资超配比例上升较快的是传媒、环保、交运、通信、房地产、商贸零售和机械设备等行业。减持部分主要集中在有色、美容护理与非银电子、汽车、家电等领域，这与内资的观点基本吻合，体现出景气相关行业存在共识，而外资可能出于长期考核考虑开始布局一些便宜的行业，如地产和零售。</w:t>
      </w:r>
    </w:p>
    <w:p>
      <w:r>
        <w:rPr>
          <w:rFonts w:ascii="等线(中文正文)" w:hAnsi="等线(中文正文)" w:cs="等线(中文正文)" w:eastAsia="等线(中文正文)"/>
          <w:b w:val="false"/>
          <w:i w:val="false"/>
          <w:sz w:val="20"/>
        </w:rPr>
        <w:t/>
      </w:r>
    </w:p>
    <w:p>
      <w:pPr>
        <w:pStyle w:val="ab"/>
      </w:pPr>
      <w:r>
        <w:t>发言人1 问：外资和内资在当前市场中的操作分歧主要体现在哪些方面？</w:t>
      </w:r>
    </w:p>
    <w:p>
      <w:r>
        <w:rPr>
          <w:rFonts w:ascii="等线(中文正文)" w:hAnsi="等线(中文正文)" w:cs="等线(中文正文)" w:eastAsia="等线(中文正文)"/>
          <w:b w:val="false"/>
          <w:i w:val="false"/>
          <w:sz w:val="20"/>
        </w:rPr>
        <w:t>发言人1 答：外资倾向于布局景气度较高、估值较低且有边际变化的行业，比如电芯等，即使面临内资的减持压力。而内资可能更关注景气度受压制、成本上升的板块。外资由于投资久期较长，可能已经开始布局一两年内有望反转的行业，如地产和零售消费。同时，我们也强调，对于一些传统低估值板块，在估值达到一定低位时，其格局优化、现金流变好后，投资价值开始显现。</w:t>
      </w:r>
    </w:p>
    <w:p>
      <w:r>
        <w:rPr>
          <w:rFonts w:ascii="等线(中文正文)" w:hAnsi="等线(中文正文)" w:cs="等线(中文正文)" w:eastAsia="等线(中文正文)"/>
          <w:b w:val="false"/>
          <w:i w:val="false"/>
          <w:sz w:val="20"/>
        </w:rPr>
        <w:t/>
      </w:r>
    </w:p>
    <w:p>
      <w:pPr>
        <w:pStyle w:val="ab"/>
      </w:pPr>
      <w:r>
        <w:t>发言人1 问：长江策略团队对未来市场的主要看法是什么？</w:t>
      </w:r>
    </w:p>
    <w:p>
      <w:r>
        <w:rPr>
          <w:rFonts w:ascii="等线(中文正文)" w:hAnsi="等线(中文正文)" w:cs="等线(中文正文)" w:eastAsia="等线(中文正文)"/>
          <w:b w:val="false"/>
          <w:i w:val="false"/>
          <w:sz w:val="20"/>
        </w:rPr>
        <w:t>发言人1 答：我们预计上证指数有望突破4200点，主要驱动力来自盈利端的贡献。最大的超预期部分来源于中国制造和出口，尤其是海外需求复苏的可能性以及美联储可能的降息政策。我们推荐的主线是AI基建、电力、存储、算力及能源安全等领域，包括新能源转型和旧能源补库，以及下半年关注现金流改善的消费品。</w:t>
      </w:r>
    </w:p>
    <w:p>
      <w:r>
        <w:rPr>
          <w:rFonts w:ascii="等线(中文正文)" w:hAnsi="等线(中文正文)" w:cs="等线(中文正文)" w:eastAsia="等线(中文正文)"/>
          <w:b w:val="false"/>
          <w:i w:val="false"/>
          <w:sz w:val="20"/>
        </w:rPr>
        <w:t/>
      </w:r>
    </w:p>
    <w:p>
      <w:pPr>
        <w:pStyle w:val="ab"/>
      </w:pPr>
      <w:r>
        <w:t>发言人1 问：对于全年指数目标和市场前景，长江策略团队有何预期？</w:t>
      </w:r>
    </w:p>
    <w:p>
      <w:r>
        <w:rPr>
          <w:rFonts w:ascii="等线(中文正文)" w:hAnsi="等线(中文正文)" w:cs="等线(中文正文)" w:eastAsia="等线(中文正文)"/>
          <w:b w:val="false"/>
          <w:i w:val="false"/>
          <w:sz w:val="20"/>
        </w:rPr>
        <w:t>发言人1 答：我们并未下调全年指数目标，将继续基于今年的盈利贡献和估值贡献来预测全年指数点位，并预计三季度会看到更高点。详细年度策略已发布在公众号“在线策略思考”上，主题为“水到渠成，万舸争腾”。我们看到很多投资机会，不仅限于光模块，还包括芯片、AI应用以及商业航天等0到1突破方向，以及AI基建、能源转型等1到10加速成熟领域。此外，我们还推荐了底部反转的品种，如新能源、化工等行业，预计会有更多行业迎来反转。对于非银领域，盈利有望改善，因此我们对市场持乐观态度，认为牛市的高度和宽度将随着产业变化和过剩产能出清、新兴产业业绩兑现而进一步增强。</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2026-04-26T15:13:05Z</dcterms:created>
  <dc:creator>Apache POI</dc:creator>
</cp:coreProperties>
</file>