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东方财富证券_东财周日晚八点 260426_导读</w:t>
      </w:r>
    </w:p>
    <w:p>
      <w:pPr>
        <w:pStyle w:val="a0"/>
        <w:jc w:val="center"/>
      </w:pPr>
      <w:r>
        <w:t>2026年04月26日 23:06</w:t>
      </w:r>
    </w:p>
    <w:p>
      <w:pPr>
        <w:pStyle w:val="a7"/>
      </w:pPr>
      <w:r>
        <w:t>关键词</w:t>
      </w:r>
    </w:p>
    <w:p>
      <w:r>
        <w:rPr>
          <w:rFonts w:ascii="等线(中文正文)" w:hAnsi="等线(中文正文)" w:cs="等线(中文正文)" w:eastAsia="等线(中文正文)"/>
          <w:b w:val="false"/>
          <w:i w:val="false"/>
          <w:sz w:val="20"/>
        </w:rPr>
        <w:t xml:space="preserve">伊朗 战后重建 资产配置 进出口 基础设施 资源合作 人民币国际化 利比亚 伊拉克 阿富汗 塔利班 商品贸易 直接投资 GDP下滑 民族结构 宗教主体 最高领袖 议长。 中国 贸易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战后重建趋势下，资产配置策略受到关注，特别是美伊冲突对市场的影响。尽管谈判充满不确定性，但冲突扩大的风险减小，市场正逐步恢复。报告回顾了中东地区战后重建的三个阶段，包括外贸活动的快速恢复、基础设施重建以及国际合作加深，强调了伊朗作为潜在受益者的地位。讨论了与伊朗重建相关的经济活动，如商品贸易、基建项目和资源合作，预期这些领域将受惠。在资产配置方面，看好制造、基建和资源开采等领域的增长机会，同时指出了天然气和氦气市场的投资潜力。整体而言，对话突出了在国际关系变化中把握重建机遇的重要性，并提供了具体行业和公司的投资建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战后重建趋势下的资产配置策略</w:t>
      </w:r>
    </w:p>
    <w:p>
      <w:r>
        <w:rPr>
          <w:rFonts w:ascii="等线(中文正文)" w:hAnsi="等线(中文正文)" w:cs="等线(中文正文)" w:eastAsia="等线(中文正文)"/>
          <w:b w:val="false"/>
          <w:i w:val="false"/>
          <w:sz w:val="20"/>
        </w:rPr>
        <w:t>报告分析了中东地区战后重建的三个阶段，包括外贸需求爆发、基础设施重建及深化国际合作。以阿富汗为例，强调了内部稳定对战后重建的重要性。建议投资者在当前冲突风险降低时，前瞻布局与战后重建相关的资产。</w:t>
      </w:r>
    </w:p>
    <w:p>
      <w:r>
        <w:rPr>
          <w:rFonts w:ascii="等线(中文正文)" w:hAnsi="等线(中文正文)" w:cs="等线(中文正文)" w:eastAsia="等线(中文正文)"/>
          <w:b w:val="false"/>
          <w:i w:val="false"/>
          <w:sz w:val="20"/>
        </w:rPr>
        <w:t/>
      </w:r>
    </w:p>
    <w:p>
      <w:pPr>
        <w:pStyle w:val="ab"/>
        <w:numPr>
          <w:numId w:val="2"/>
        </w:numPr>
      </w:pPr>
      <w:r>
        <w:t>02:40 美伊局势与全球资产配置展望</w:t>
      </w:r>
    </w:p>
    <w:p>
      <w:r>
        <w:rPr>
          <w:rFonts w:ascii="等线(中文正文)" w:hAnsi="等线(中文正文)" w:cs="等线(中文正文)" w:eastAsia="等线(中文正文)"/>
          <w:b w:val="false"/>
          <w:i w:val="false"/>
          <w:sz w:val="20"/>
        </w:rPr>
        <w:t>讨论了伊朗战后重建潜力及其对A股和大类资产配置的影响，看好制造基建与资源开采，预期商品价格回暖，人民币国际化进程加速，尤其在石油体系中的战略地位提升将支撑人民币升值。</w:t>
      </w:r>
    </w:p>
    <w:p>
      <w:r>
        <w:rPr>
          <w:rFonts w:ascii="等线(中文正文)" w:hAnsi="等线(中文正文)" w:cs="等线(中文正文)" w:eastAsia="等线(中文正文)"/>
          <w:b w:val="false"/>
          <w:i w:val="false"/>
          <w:sz w:val="20"/>
        </w:rPr>
        <w:t/>
      </w:r>
    </w:p>
    <w:p>
      <w:pPr>
        <w:pStyle w:val="ab"/>
        <w:numPr>
          <w:numId w:val="3"/>
        </w:numPr>
      </w:pPr>
      <w:r>
        <w:t>04:41 中东冲突后三国重建挑战与机遇</w:t>
      </w:r>
    </w:p>
    <w:p>
      <w:r>
        <w:rPr>
          <w:rFonts w:ascii="等线(中文正文)" w:hAnsi="等线(中文正文)" w:cs="等线(中文正文)" w:eastAsia="等线(中文正文)"/>
          <w:b w:val="false"/>
          <w:i w:val="false"/>
          <w:sz w:val="20"/>
        </w:rPr>
        <w:t>利比亚、伊拉克和阿富汗在经历重大冲突后，重建过程面临政府分裂、外部势力干预等挑战。利比亚因部落分裂和政府对立，重建仅限于进出口；伊拉克虽受美国影响，但与中国的贸易和投资合作仍取得进展；阿富汗在塔利班重新掌权后，中国与其签订长期战略合作协议，显示更深入的合作可能。</w:t>
      </w:r>
    </w:p>
    <w:p>
      <w:r>
        <w:rPr>
          <w:rFonts w:ascii="等线(中文正文)" w:hAnsi="等线(中文正文)" w:cs="等线(中文正文)" w:eastAsia="等线(中文正文)"/>
          <w:b w:val="false"/>
          <w:i w:val="false"/>
          <w:sz w:val="20"/>
        </w:rPr>
        <w:t/>
      </w:r>
    </w:p>
    <w:p>
      <w:pPr>
        <w:pStyle w:val="ab"/>
        <w:numPr>
          <w:numId w:val="4"/>
        </w:numPr>
      </w:pPr>
      <w:r>
        <w:t>09:20 伊朗重建路径与阿富汗模式对比分析</w:t>
      </w:r>
    </w:p>
    <w:p>
      <w:r>
        <w:rPr>
          <w:rFonts w:ascii="等线(中文正文)" w:hAnsi="等线(中文正文)" w:cs="等线(中文正文)" w:eastAsia="等线(中文正文)"/>
          <w:b w:val="false"/>
          <w:i w:val="false"/>
          <w:sz w:val="20"/>
        </w:rPr>
        <w:t>讨论了伊朗在遭受战争损失后可能采取的快速重建路径，类似于阿富汗模式但更为稳定。伊朗民族结构简单，宗教统一，有利于形成强有力的政府，且权力结构相对完整，具备重建能力。预计伊朗GDP将下滑8.8%-10.4%，损失接近2001年阿富汗水平，但伊朗重建条件优于阿富汗。</w:t>
      </w:r>
    </w:p>
    <w:p>
      <w:r>
        <w:rPr>
          <w:rFonts w:ascii="等线(中文正文)" w:hAnsi="等线(中文正文)" w:cs="等线(中文正文)" w:eastAsia="等线(中文正文)"/>
          <w:b w:val="false"/>
          <w:i w:val="false"/>
          <w:sz w:val="20"/>
        </w:rPr>
        <w:t/>
      </w:r>
    </w:p>
    <w:p>
      <w:pPr>
        <w:pStyle w:val="ab"/>
        <w:numPr>
          <w:numId w:val="5"/>
        </w:numPr>
      </w:pPr>
      <w:r>
        <w:t>11:48 中伊关系与战后经济合作展望</w:t>
      </w:r>
    </w:p>
    <w:p>
      <w:r>
        <w:rPr>
          <w:rFonts w:ascii="等线(中文正文)" w:hAnsi="等线(中文正文)" w:cs="等线(中文正文)" w:eastAsia="等线(中文正文)"/>
          <w:b w:val="false"/>
          <w:i w:val="false"/>
          <w:sz w:val="20"/>
        </w:rPr>
        <w:t>对话探讨了中伊关系在冲突缓和后的贸易、基建和合作项目三大战略方向，强调中国作为伊朗主要贸易伙伴的地位，以及战后重建与资源输出对两国经济的积极影响。同时，提及人民币国际化进程可能因中伊石油贸易结算而加速，长远看好人民币汇率提升。</w:t>
      </w:r>
    </w:p>
    <w:p>
      <w:r>
        <w:rPr>
          <w:rFonts w:ascii="等线(中文正文)" w:hAnsi="等线(中文正文)" w:cs="等线(中文正文)" w:eastAsia="等线(中文正文)"/>
          <w:b w:val="false"/>
          <w:i w:val="false"/>
          <w:sz w:val="20"/>
        </w:rPr>
        <w:t/>
      </w:r>
    </w:p>
    <w:p>
      <w:pPr>
        <w:pStyle w:val="ab"/>
        <w:numPr>
          <w:numId w:val="6"/>
        </w:numPr>
      </w:pPr>
      <w:r>
        <w:t>15:40 氦气与天然气价格波动及市场前景分析</w:t>
      </w:r>
    </w:p>
    <w:p>
      <w:r>
        <w:rPr>
          <w:rFonts w:ascii="等线(中文正文)" w:hAnsi="等线(中文正文)" w:cs="等线(中文正文)" w:eastAsia="等线(中文正文)"/>
          <w:b w:val="false"/>
          <w:i w:val="false"/>
          <w:sz w:val="20"/>
        </w:rPr>
        <w:t>对话讨论了氦气和天然气的价格波动，指出氦气价格因供应链中断而大幅上涨，预计天然气市场也将迎来类似机遇。氦气价格从75元/美方涨至400多元/美方，主要由于卡塔尔液化工厂停产和俄罗斯出口限制导致供应短缺。随着美伊局势紧张，氦气和天然气的市场前景被看好，价格和股价可能进一步上涨。</w:t>
      </w:r>
    </w:p>
    <w:p>
      <w:r>
        <w:rPr>
          <w:rFonts w:ascii="等线(中文正文)" w:hAnsi="等线(中文正文)" w:cs="等线(中文正文)" w:eastAsia="等线(中文正文)"/>
          <w:b w:val="false"/>
          <w:i w:val="false"/>
          <w:sz w:val="20"/>
        </w:rPr>
        <w:t/>
      </w:r>
    </w:p>
    <w:p>
      <w:pPr>
        <w:pStyle w:val="ab"/>
        <w:numPr>
          <w:numId w:val="7"/>
        </w:numPr>
      </w:pPr>
      <w:r>
        <w:t>18:13 氦气与天然气价格变动原因分析</w:t>
      </w:r>
    </w:p>
    <w:p>
      <w:r>
        <w:rPr>
          <w:rFonts w:ascii="等线(中文正文)" w:hAnsi="等线(中文正文)" w:cs="等线(中文正文)" w:eastAsia="等线(中文正文)"/>
          <w:b w:val="false"/>
          <w:i w:val="false"/>
          <w:sz w:val="20"/>
        </w:rPr>
        <w:t>讨论了氦气价格快速上涨与天然气价格缓慢上涨的原因，指出氦气需求平稳但供给缺口大，而天然气受季节性需求波动影响显著。建议关注氦气及天然气相关股票的投资机会，特别是九丰能源、水发燃气等氦气标的，以及上游气源和国际感受类天然气股票。</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讨论了战后重建趋势下的资产配置，强调即使在美伊冲突背景下，市场对冲突风险的反应钝化，为前瞻布局提供了机会。回顾中东20年战后重建，重建经历战争初期的贸易恢复、战后基础设施重建，以及政府稳定后的国际合作三个阶段。特别看好伊朗作为拥有稳定政府的国家，在战后重建中的机遇，尤其是制造基建和资源开采领域。此外，他分析了氦气和天然气市场动态，指出氦气因供给短缺和需求增长价格上涨，预测天然气在季节性需求上升和库存补充后也会价格上涨。最后，建议投资者关注与氦气和天然气相关的股票机会，强调市场对这些领域增长潜力的认可。他自我介绍为中产关成兰，感谢听众的支持，预告将分享关于战后重建趋势下的资产配置建议。</w:t>
      </w:r>
    </w:p>
    <w:p>
      <w:r>
        <w:rPr>
          <w:rFonts w:ascii="等线(中文正文)" w:hAnsi="等线(中文正文)" w:cs="等线(中文正文)" w:eastAsia="等线(中文正文)"/>
          <w:b w:val="false"/>
          <w:i w:val="false"/>
          <w:sz w:val="20"/>
        </w:rPr>
        <w:t/>
      </w:r>
    </w:p>
    <w:p>
      <w:pPr>
        <w:pStyle w:val="a7"/>
      </w:pPr>
      <w:r>
        <w:t>要点回顾</w:t>
      </w:r>
    </w:p>
    <w:p>
      <w:pPr>
        <w:pStyle w:val="ab"/>
      </w:pPr>
      <w:r>
        <w:t>在美伊冲突背景下，为什么现在是进行战后重建趋势下资产配置布局的合适时机？战后重建过程可以分为哪几个阶段？</w:t>
      </w:r>
    </w:p>
    <w:p>
      <w:r>
        <w:rPr>
          <w:rFonts w:ascii="等线(中文正文)" w:hAnsi="等线(中文正文)" w:cs="等线(中文正文)" w:eastAsia="等线(中文正文)"/>
          <w:b w:val="false"/>
          <w:i w:val="false"/>
          <w:sz w:val="20"/>
        </w:rPr>
        <w:t>发言人1：虽然美伊谈判存在不确定性，但整体冲突扩大化的风险已相对较小。在当前局势对市场冲击逐渐钝化的阶段，我们可以前瞻性地布局，分析历史上中东地区战后重建阶段的资产表现和相关逻辑，从而为投资提供参考。战后重建大致可分为三个阶段。第一阶段主要在战争结束后，尽管局部可能还有热冲突，但外贸渠道、重要航线已开通，必选消费品和关键工业品需求将出现爆发性增长。第二阶段是战争国家建立起相对有效的政府后，开始重建公共基础设施和居民住宅。第三阶段是国家政府独立并有治理权时，能与其他国家进行深入合作，如签署资源合作协议等。</w:t>
      </w:r>
    </w:p>
    <w:p>
      <w:r>
        <w:rPr>
          <w:rFonts w:ascii="等线(中文正文)" w:hAnsi="等线(中文正文)" w:cs="等线(中文正文)" w:eastAsia="等线(中文正文)"/>
          <w:b w:val="false"/>
          <w:i w:val="false"/>
          <w:sz w:val="20"/>
        </w:rPr>
        <w:t/>
      </w:r>
    </w:p>
    <w:p>
      <w:pPr>
        <w:pStyle w:val="ab"/>
      </w:pPr>
      <w:r>
        <w:t>为什么阿富汗在战后重建方面的表现与其他国家不同？伊朗在战后重建方面的条件如何，以及对其有何展望？</w:t>
      </w:r>
    </w:p>
    <w:p>
      <w:r>
        <w:rPr>
          <w:rFonts w:ascii="等线(中文正文)" w:hAnsi="等线(中文正文)" w:cs="等线(中文正文)" w:eastAsia="等线(中文正文)"/>
          <w:b w:val="false"/>
          <w:i w:val="false"/>
          <w:sz w:val="20"/>
        </w:rPr>
        <w:t>发言人1：阿富汗由于内部相对团结、统一且得民心的塔利班政府主导战后重建，使其进出口、项目及长期协议能够顺利推进，相比利比亚和伊拉克等国较为完整地走完了这三个阶段。伊朗相较于利比亚、伊拉克和阿富汗，在短期内具备建立独立稳定的政府基础条件，基层政府损害较小，且宗教和民主体系较为简单、团结。我们看好伊朗在组建独立政府后，快速推进战后重建三步骤，因此在权益配置上看好制造、基建和资源开采领域。</w:t>
      </w:r>
    </w:p>
    <w:p>
      <w:r>
        <w:rPr>
          <w:rFonts w:ascii="等线(中文正文)" w:hAnsi="等线(中文正文)" w:cs="等线(中文正文)" w:eastAsia="等线(中文正文)"/>
          <w:b w:val="false"/>
          <w:i w:val="false"/>
          <w:sz w:val="20"/>
        </w:rPr>
        <w:t/>
      </w:r>
    </w:p>
    <w:p>
      <w:pPr>
        <w:pStyle w:val="ab"/>
      </w:pPr>
      <w:r>
        <w:t>对于商品和汇率市场，美伊局势的变化将带来怎样的影响？</w:t>
      </w:r>
    </w:p>
    <w:p>
      <w:r>
        <w:rPr>
          <w:rFonts w:ascii="等线(中文正文)" w:hAnsi="等线(中文正文)" w:cs="等线(中文正文)" w:eastAsia="等线(中文正文)"/>
          <w:b w:val="false"/>
          <w:i w:val="false"/>
          <w:sz w:val="20"/>
        </w:rPr>
        <w:t>发言人1：若美伊冲突缓和，预计钢材、玻璃、水泥、化工产品以及上游铜铝等关键原材料价格将回暖回升。此外，伊朗走向战后重建并深化与中国合作，可能带动人民币国际化和升值，同时短期出口层面也会支撑人民币上行。</w:t>
      </w:r>
    </w:p>
    <w:p>
      <w:r>
        <w:rPr>
          <w:rFonts w:ascii="等线(中文正文)" w:hAnsi="等线(中文正文)" w:cs="等线(中文正文)" w:eastAsia="等线(中文正文)"/>
          <w:b w:val="false"/>
          <w:i w:val="false"/>
          <w:sz w:val="20"/>
        </w:rPr>
        <w:t/>
      </w:r>
    </w:p>
    <w:p>
      <w:pPr>
        <w:pStyle w:val="ab"/>
      </w:pPr>
      <w:r>
        <w:t>利比亚战后重建的情况及其面临的挑战是什么？</w:t>
      </w:r>
    </w:p>
    <w:p>
      <w:r>
        <w:rPr>
          <w:rFonts w:ascii="等线(中文正文)" w:hAnsi="等线(中文正文)" w:cs="等线(中文正文)" w:eastAsia="等线(中文正文)"/>
          <w:b w:val="false"/>
          <w:i w:val="false"/>
          <w:sz w:val="20"/>
        </w:rPr>
        <w:t>发言人1：利比亚由于部落联盟结构松散，国家凝聚力不足，政府更迭频繁，导致战后重建进程困难重重。至今未能形成一个统一稳定的政府架构，导致长期投资艰难，仅能停留在进出口阶段，基础设施建设等长期项目进展缓慢且面临诸多不确定性。</w:t>
      </w:r>
    </w:p>
    <w:p>
      <w:r>
        <w:rPr>
          <w:rFonts w:ascii="等线(中文正文)" w:hAnsi="等线(中文正文)" w:cs="等线(中文正文)" w:eastAsia="等线(中文正文)"/>
          <w:b w:val="false"/>
          <w:i w:val="false"/>
          <w:sz w:val="20"/>
        </w:rPr>
        <w:t/>
      </w:r>
    </w:p>
    <w:p>
      <w:pPr>
        <w:pStyle w:val="ab"/>
      </w:pPr>
      <w:r>
        <w:t>在伊拉克的账户重建过程中，中国对其贸易和直接投资有何影响？</w:t>
      </w:r>
    </w:p>
    <w:p>
      <w:r>
        <w:rPr>
          <w:rFonts w:ascii="等线(中文正文)" w:hAnsi="等线(中文正文)" w:cs="等线(中文正文)" w:eastAsia="等线(中文正文)"/>
          <w:b w:val="false"/>
          <w:i w:val="false"/>
          <w:sz w:val="20"/>
        </w:rPr>
        <w:t>发言人1：在伊拉克战争后，美国主导下的过渡政府时期，中国对伊拉克的贸易迅速增长，成为中国在伊拉克的第一大贸易伙伴。出口商品包括汽车、家电、电力设备、通讯设备以及食品饮料和纺织服装等。此外，在2007年至2012年战局稳定后，中国对伊拉克的直接投资也上升较快，但后来由于伊斯兰国事件等因素导致项目暂停。</w:t>
      </w:r>
    </w:p>
    <w:p>
      <w:r>
        <w:rPr>
          <w:rFonts w:ascii="等线(中文正文)" w:hAnsi="等线(中文正文)" w:cs="等线(中文正文)" w:eastAsia="等线(中文正文)"/>
          <w:b w:val="false"/>
          <w:i w:val="false"/>
          <w:sz w:val="20"/>
        </w:rPr>
        <w:t/>
      </w:r>
    </w:p>
    <w:p>
      <w:pPr>
        <w:pStyle w:val="ab"/>
      </w:pPr>
      <w:r>
        <w:t>伊拉克政府自主独立性如何，以及与中国合作的程度如何？</w:t>
      </w:r>
    </w:p>
    <w:p>
      <w:r>
        <w:rPr>
          <w:rFonts w:ascii="等线(中文正文)" w:hAnsi="等线(中文正文)" w:cs="等线(中文正文)" w:eastAsia="等线(中文正文)"/>
          <w:b w:val="false"/>
          <w:i w:val="false"/>
          <w:sz w:val="20"/>
        </w:rPr>
        <w:t>发言人1：伊拉克政府自主独立性不强，在与中国的合作上主要停留在基建和产业输出层面，难以进一步推进涉及能源和资源开采的长期协议。</w:t>
      </w:r>
    </w:p>
    <w:p>
      <w:r>
        <w:rPr>
          <w:rFonts w:ascii="等线(中文正文)" w:hAnsi="等线(中文正文)" w:cs="等线(中文正文)" w:eastAsia="等线(中文正文)"/>
          <w:b w:val="false"/>
          <w:i w:val="false"/>
          <w:sz w:val="20"/>
        </w:rPr>
        <w:t/>
      </w:r>
    </w:p>
    <w:p>
      <w:pPr>
        <w:pStyle w:val="ab"/>
      </w:pPr>
      <w:r>
        <w:t>阿富汗在账户重建过程中的情况及与中国的关系是怎样的？</w:t>
      </w:r>
    </w:p>
    <w:p>
      <w:r>
        <w:rPr>
          <w:rFonts w:ascii="等线(中文正文)" w:hAnsi="等线(中文正文)" w:cs="等线(中文正文)" w:eastAsia="等线(中文正文)"/>
          <w:b w:val="false"/>
          <w:i w:val="false"/>
          <w:sz w:val="20"/>
        </w:rPr>
        <w:t>发言人1：阿富汗历经多年战争，政府曾受到美国影响并建立过国家政府，但在2021年塔利班重新掌权后，目前处于相对独立自主决策的阶段。在此过程中，中国在出口、重大项目投资以及重要基础设施使用权等方面的合作比叙利亚和伊拉克更进一步，例如签订了长期的柴油和存款协议。</w:t>
      </w:r>
    </w:p>
    <w:p>
      <w:r>
        <w:rPr>
          <w:rFonts w:ascii="等线(中文正文)" w:hAnsi="等线(中文正文)" w:cs="等线(中文正文)" w:eastAsia="等线(中文正文)"/>
          <w:b w:val="false"/>
          <w:i w:val="false"/>
          <w:sz w:val="20"/>
        </w:rPr>
        <w:t/>
      </w:r>
    </w:p>
    <w:p>
      <w:pPr>
        <w:pStyle w:val="ab"/>
      </w:pPr>
      <w:r>
        <w:t>伊朗当前的账户重建需求及其可能采取的模式是什么？</w:t>
      </w:r>
    </w:p>
    <w:p>
      <w:r>
        <w:rPr>
          <w:rFonts w:ascii="等线(中文正文)" w:hAnsi="等线(中文正文)" w:cs="等线(中文正文)" w:eastAsia="等线(中文正文)"/>
          <w:b w:val="false"/>
          <w:i w:val="false"/>
          <w:sz w:val="20"/>
        </w:rPr>
        <w:t>发言人1：伊朗有着巨大的账户重建需求，并且有快速进入类似阿富汗模式的趋势，因为其民族和宗教结构相对简单，凝聚力较强，且政权结构较为完整，有明确的最高领袖和议长。一旦冲突缓和，伊朗可能首先通过商品贸易恢复经济活力，且中国因其全面战略伙伴地位，在伊朗重建过程中扮演重要角色，即使面临美国和其他西方国家的制裁压力。</w:t>
      </w:r>
    </w:p>
    <w:p>
      <w:r>
        <w:rPr>
          <w:rFonts w:ascii="等线(中文正文)" w:hAnsi="等线(中文正文)" w:cs="等线(中文正文)" w:eastAsia="等线(中文正文)"/>
          <w:b w:val="false"/>
          <w:i w:val="false"/>
          <w:sz w:val="20"/>
        </w:rPr>
        <w:t/>
      </w:r>
    </w:p>
    <w:p>
      <w:pPr>
        <w:pStyle w:val="ab"/>
      </w:pPr>
      <w:r>
        <w:t>在伊朗与中国的合作中，哪些领域将受益于合作项目的推进？</w:t>
      </w:r>
    </w:p>
    <w:p>
      <w:r>
        <w:rPr>
          <w:rFonts w:ascii="等线(中文正文)" w:hAnsi="等线(中文正文)" w:cs="等线(中文正文)" w:eastAsia="等线(中文正文)"/>
          <w:b w:val="false"/>
          <w:i w:val="false"/>
          <w:sz w:val="20"/>
        </w:rPr>
        <w:t>发言人1：如果伊朗能快速实现战后稳定并组建独立政府，那么基建项目如铁路、机场、电站光伏电站以及石油领域的基金项目将受益于架构重建和产能输出的加速推进。</w:t>
      </w:r>
    </w:p>
    <w:p>
      <w:r>
        <w:rPr>
          <w:rFonts w:ascii="等线(中文正文)" w:hAnsi="等线(中文正文)" w:cs="等线(中文正文)" w:eastAsia="等线(中文正文)"/>
          <w:b w:val="false"/>
          <w:i w:val="false"/>
          <w:sz w:val="20"/>
        </w:rPr>
        <w:t/>
      </w:r>
    </w:p>
    <w:p>
      <w:pPr>
        <w:pStyle w:val="ab"/>
      </w:pPr>
      <w:r>
        <w:t>在资产配置布局方面，权益和商品层面有哪些潜在机会？</w:t>
      </w:r>
    </w:p>
    <w:p>
      <w:r>
        <w:rPr>
          <w:rFonts w:ascii="等线(中文正文)" w:hAnsi="等线(中文正文)" w:cs="等线(中文正文)" w:eastAsia="等线(中文正文)"/>
          <w:b w:val="false"/>
          <w:i w:val="false"/>
          <w:sz w:val="20"/>
        </w:rPr>
        <w:t>发言人1：权益上，预期伊朗与中国在进出口、产业输出、基建输出以及资源输出等方面的合作会催化相关企业的发展。商品方面，重建需求叠加全球经济预期从滞胀转向修复或复苏，可能推动基建和工业相关的资源品价格修复。</w:t>
      </w:r>
    </w:p>
    <w:p>
      <w:r>
        <w:rPr>
          <w:rFonts w:ascii="等线(中文正文)" w:hAnsi="等线(中文正文)" w:cs="等线(中文正文)" w:eastAsia="等线(中文正文)"/>
          <w:b w:val="false"/>
          <w:i w:val="false"/>
          <w:sz w:val="20"/>
        </w:rPr>
        <w:t/>
      </w:r>
    </w:p>
    <w:p>
      <w:pPr>
        <w:pStyle w:val="ab"/>
      </w:pPr>
      <w:r>
        <w:t>汇率层面的变化对人民币国际化有何影响？</w:t>
      </w:r>
    </w:p>
    <w:p>
      <w:r>
        <w:rPr>
          <w:rFonts w:ascii="等线(中文正文)" w:hAnsi="等线(中文正文)" w:cs="等线(中文正文)" w:eastAsia="等线(中文正文)"/>
          <w:b w:val="false"/>
          <w:i w:val="false"/>
          <w:sz w:val="20"/>
        </w:rPr>
        <w:t>发言人1：伊朗作为石油出口大国，若与中国的贸易中使用人民币结算的比例增加，将对人民币国际化产生积极影响，尤其是在跨境结算和项目融资上扩大人民币使用范围，从而促使人民币汇率中长期提升和国际化进程推进。</w:t>
      </w:r>
    </w:p>
    <w:p>
      <w:r>
        <w:rPr>
          <w:rFonts w:ascii="等线(中文正文)" w:hAnsi="等线(中文正文)" w:cs="等线(中文正文)" w:eastAsia="等线(中文正文)"/>
          <w:b w:val="false"/>
          <w:i w:val="false"/>
          <w:sz w:val="20"/>
        </w:rPr>
        <w:t/>
      </w:r>
    </w:p>
    <w:p>
      <w:pPr>
        <w:pStyle w:val="ab"/>
      </w:pPr>
      <w:r>
        <w:t>氦气和天然气价格近期为何上涨，尤其是氦气涨幅较大？</w:t>
      </w:r>
    </w:p>
    <w:p>
      <w:r>
        <w:rPr>
          <w:rFonts w:ascii="等线(中文正文)" w:hAnsi="等线(中文正文)" w:cs="等线(中文正文)" w:eastAsia="等线(中文正文)"/>
          <w:b w:val="false"/>
          <w:i w:val="false"/>
          <w:sz w:val="20"/>
        </w:rPr>
        <w:t>发言人1：氦气价格大幅上涨的原因包括美国伊战导致的主要生产方式BOGT（从LNG主体蒸发器中分离氦气）受阻，加上卡塔尔液化工厂停产和俄罗斯限制氦气出口，造成全球市场供应短缺，消化库存后价格出现跳涨。</w:t>
      </w:r>
    </w:p>
    <w:p>
      <w:r>
        <w:rPr>
          <w:rFonts w:ascii="等线(中文正文)" w:hAnsi="等线(中文正文)" w:cs="等线(中文正文)" w:eastAsia="等线(中文正文)"/>
          <w:b w:val="false"/>
          <w:i w:val="false"/>
          <w:sz w:val="20"/>
        </w:rPr>
        <w:t/>
      </w:r>
    </w:p>
    <w:p>
      <w:pPr>
        <w:pStyle w:val="ab"/>
      </w:pPr>
      <w:r>
        <w:t>是否可以预期氦气价格的上涨会带动天然气价格的上涨？</w:t>
      </w:r>
    </w:p>
    <w:p>
      <w:r>
        <w:rPr>
          <w:rFonts w:ascii="等线(中文正文)" w:hAnsi="等线(中文正文)" w:cs="等线(中文正文)" w:eastAsia="等线(中文正文)"/>
          <w:b w:val="false"/>
          <w:i w:val="false"/>
          <w:sz w:val="20"/>
        </w:rPr>
        <w:t>发言人1：是的，根据氦气价格的表现推测，天然气价格可能也会经历类似上涨过程。尤其是在季节性需求变化和特定地区供应受限时，如冬季供暖需求和天然气库存补库阶段，天然气价格有望实现较大涨幅。</w:t>
      </w:r>
    </w:p>
    <w:p>
      <w:r>
        <w:rPr>
          <w:rFonts w:ascii="等线(中文正文)" w:hAnsi="等线(中文正文)" w:cs="等线(中文正文)" w:eastAsia="等线(中文正文)"/>
          <w:b w:val="false"/>
          <w:i w:val="false"/>
          <w:sz w:val="20"/>
        </w:rPr>
        <w:t/>
      </w:r>
    </w:p>
    <w:p>
      <w:pPr>
        <w:pStyle w:val="ab"/>
      </w:pPr>
      <w:r>
        <w:t>天然气价格为何没有跟随氦气价格上涨？</w:t>
      </w:r>
    </w:p>
    <w:p>
      <w:r>
        <w:rPr>
          <w:rFonts w:ascii="等线(中文正文)" w:hAnsi="等线(中文正文)" w:cs="等线(中文正文)" w:eastAsia="等线(中文正文)"/>
          <w:b w:val="false"/>
          <w:i w:val="false"/>
          <w:sz w:val="20"/>
        </w:rPr>
        <w:t>发言人1：主要原因是氦气需求相对平稳，而天然气需求受季节影响较大，夏季是需求低位期，所以目前天然气价格未有显著上涨。但复盘历史数据，天然气在下半年尤其是供暖季会有较大需求提升，类似情况可能在今年也会发生。</w:t>
      </w:r>
    </w:p>
    <w:p>
      <w:r>
        <w:rPr>
          <w:rFonts w:ascii="等线(中文正文)" w:hAnsi="等线(中文正文)" w:cs="等线(中文正文)" w:eastAsia="等线(中文正文)"/>
          <w:b w:val="false"/>
          <w:i w:val="false"/>
          <w:sz w:val="20"/>
        </w:rPr>
        <w:t/>
      </w:r>
    </w:p>
    <w:p>
      <w:pPr>
        <w:pStyle w:val="ab"/>
      </w:pPr>
      <w:r>
        <w:t>对于投资机会，有何建议？</w:t>
      </w:r>
    </w:p>
    <w:p>
      <w:r>
        <w:rPr>
          <w:rFonts w:ascii="等线(中文正文)" w:hAnsi="等线(中文正文)" w:cs="等线(中文正文)" w:eastAsia="等线(中文正文)"/>
          <w:b w:val="false"/>
          <w:i w:val="false"/>
          <w:sz w:val="20"/>
        </w:rPr>
        <w:t>发言人1：建议关注氦气标的，如九丰能源和水发燃气；同时强调天然气股票的投资价值，特别是上游气源类企业和国际感受明显的企业，如深圳燃气、新奥股份、富瑞能源等。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