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东吴环保公用  朗坤科技年报业绩交流会 260426_导读</w:t>
      </w:r>
    </w:p>
    <w:p>
      <w:pPr>
        <w:pStyle w:val="a0"/>
        <w:jc w:val="center"/>
      </w:pPr>
      <w:r>
        <w:t>2026年04月26日 23:06</w:t>
      </w:r>
    </w:p>
    <w:p>
      <w:pPr>
        <w:pStyle w:val="a7"/>
      </w:pPr>
      <w:r>
        <w:t>关键词</w:t>
      </w:r>
    </w:p>
    <w:p>
      <w:r>
        <w:rPr>
          <w:rFonts w:ascii="等线(中文正文)" w:hAnsi="等线(中文正文)" w:cs="等线(中文正文)" w:eastAsia="等线(中文正文)"/>
          <w:b w:val="false"/>
          <w:i w:val="false"/>
          <w:sz w:val="20"/>
        </w:rPr>
        <w:t xml:space="preserve">朗坤科技 生物能源 净利润 营业收入 毛利率 生物柴油 运营服务 现金流 应收账款 深圳地铁 工程建造 uco 合同资产 减值损失 派发现金红利 合成生物制造 垃圾焚烧 动物固废 厨余处理 废污处理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公司在2025年实现了稳健增长，营业收入达17.97亿元，同比增长0.35%，净利润为2.65亿元，同比增长23.11%，主要得益于核心业务的强劲表现和运营服务能力的提升。毛利率的提升以及2026年一季度的财务表现，营业收入5.02亿，同比增长21.85%，归母净利润9332万元，同比增长21.44%，业绩延续高增长态势。业务结构涵盖生物能源、运营服务和工程建造服务，各板块贡献显著。公司积极布局海外市场，加大研发投入，并有效管理应收账款。展望未来，公司目标成为中国最大的生物柴油原料供应商，并在生物能源和合成生物制造领域扩大市场份额。</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朗坤科技2025年报业绩稳健增长</w:t>
      </w:r>
    </w:p>
    <w:p>
      <w:r>
        <w:rPr>
          <w:rFonts w:ascii="等线(中文正文)" w:hAnsi="等线(中文正文)" w:cs="等线(中文正文)" w:eastAsia="等线(中文正文)"/>
          <w:b w:val="false"/>
          <w:i w:val="false"/>
          <w:sz w:val="20"/>
        </w:rPr>
        <w:t>朗坤科技2025年实现营业收入17.97亿元，同比增长0.35%，净利润2.65亿元，同比增长23.11%。生物能源业务收入9.84亿元，同比增长25.15%，占比提升至54.76%。运营服务业务收入6.38亿元，同比增长9.81%，占比35.49%。工程建造服务收入1.68亿元，同比减少59.77%，受项目周期影响。公司灵活市场策略和运营服务能力提升，推动业绩稳健增长。</w:t>
      </w:r>
    </w:p>
    <w:p>
      <w:r>
        <w:rPr>
          <w:rFonts w:ascii="等线(中文正文)" w:hAnsi="等线(中文正文)" w:cs="等线(中文正文)" w:eastAsia="等线(中文正文)"/>
          <w:b w:val="false"/>
          <w:i w:val="false"/>
          <w:sz w:val="20"/>
        </w:rPr>
        <w:t/>
      </w:r>
    </w:p>
    <w:p>
      <w:pPr>
        <w:pStyle w:val="ab"/>
        <w:numPr>
          <w:numId w:val="2"/>
        </w:numPr>
      </w:pPr>
      <w:r>
        <w:t>05:12 2025年公司财务稳健增长及2026年一季度业绩解读</w:t>
      </w:r>
    </w:p>
    <w:p>
      <w:r>
        <w:rPr>
          <w:rFonts w:ascii="等线(中文正文)" w:hAnsi="等线(中文正文)" w:cs="等线(中文正文)" w:eastAsia="等线(中文正文)"/>
          <w:b w:val="false"/>
          <w:i w:val="false"/>
          <w:sz w:val="20"/>
        </w:rPr>
        <w:t>公司2025年毛利率提升，主要得益于运营服务和生物能源业务盈利能力增强，资产负债率健康，现金流表现优异。2026年一季度延续高增长态势，营业收入和净利润均实现显著同比增长，资产结构稳健，正筹备可转债发行以支持未来发展。</w:t>
      </w:r>
    </w:p>
    <w:p>
      <w:r>
        <w:rPr>
          <w:rFonts w:ascii="等线(中文正文)" w:hAnsi="等线(中文正文)" w:cs="等线(中文正文)" w:eastAsia="等线(中文正文)"/>
          <w:b w:val="false"/>
          <w:i w:val="false"/>
          <w:sz w:val="20"/>
        </w:rPr>
        <w:t/>
      </w:r>
    </w:p>
    <w:p>
      <w:pPr>
        <w:pStyle w:val="ab"/>
        <w:numPr>
          <w:numId w:val="3"/>
        </w:numPr>
      </w:pPr>
      <w:r>
        <w:t>11:17 2025年公司财务与业务结构拆解</w:t>
      </w:r>
    </w:p>
    <w:p>
      <w:r>
        <w:rPr>
          <w:rFonts w:ascii="等线(中文正文)" w:hAnsi="等线(中文正文)" w:cs="等线(中文正文)" w:eastAsia="等线(中文正文)"/>
          <w:b w:val="false"/>
          <w:i w:val="false"/>
          <w:sz w:val="20"/>
        </w:rPr>
        <w:t>介绍了2025年公司财务情况，包括工程建造、运营服务及生物能源三大业务板块的收入分布，分析了深圳城市轨交项目对利润的影响，并说明了地铁项目结算核减的财务处理方式。</w:t>
      </w:r>
    </w:p>
    <w:p>
      <w:r>
        <w:rPr>
          <w:rFonts w:ascii="等线(中文正文)" w:hAnsi="等线(中文正文)" w:cs="等线(中文正文)" w:eastAsia="等线(中文正文)"/>
          <w:b w:val="false"/>
          <w:i w:val="false"/>
          <w:sz w:val="20"/>
        </w:rPr>
        <w:t/>
      </w:r>
    </w:p>
    <w:p>
      <w:pPr>
        <w:pStyle w:val="ab"/>
        <w:numPr>
          <w:numId w:val="4"/>
        </w:numPr>
      </w:pPr>
      <w:r>
        <w:t>18:35 优酷销量与价格趋势及产能规划讨论</w:t>
      </w:r>
    </w:p>
    <w:p>
      <w:r>
        <w:rPr>
          <w:rFonts w:ascii="等线(中文正文)" w:hAnsi="等线(中文正文)" w:cs="等线(中文正文)" w:eastAsia="等线(中文正文)"/>
          <w:b w:val="false"/>
          <w:i w:val="false"/>
          <w:sz w:val="20"/>
        </w:rPr>
        <w:t>对话围绕优酷销量、价格趋势及产能规划展开。25年一季度销量价格预计同比上涨200元左右，26年全年油价呈上行趋势。公司正推进北京通州、深圳油脂项目及海外布局，预计通州项目下半年试运营，满产需半年至一年。房山项目因考古原因延期，进展20%，具体竣工时间待政府协商后披露。公司战略目标为中国最大原料供应商，看好优酷价格稳定上涨。</w:t>
      </w:r>
    </w:p>
    <w:p>
      <w:r>
        <w:rPr>
          <w:rFonts w:ascii="等线(中文正文)" w:hAnsi="等线(中文正文)" w:cs="等线(中文正文)" w:eastAsia="等线(中文正文)"/>
          <w:b w:val="false"/>
          <w:i w:val="false"/>
          <w:sz w:val="20"/>
        </w:rPr>
        <w:t/>
      </w:r>
    </w:p>
    <w:p>
      <w:pPr>
        <w:pStyle w:val="ab"/>
        <w:numPr>
          <w:numId w:val="5"/>
        </w:numPr>
      </w:pPr>
      <w:r>
        <w:t>25:09 公司项目进展与财务状况详解</w:t>
      </w:r>
    </w:p>
    <w:p>
      <w:r>
        <w:rPr>
          <w:rFonts w:ascii="等线(中文正文)" w:hAnsi="等线(中文正文)" w:cs="等线(中文正文)" w:eastAsia="等线(中文正文)"/>
          <w:b w:val="false"/>
          <w:i w:val="false"/>
          <w:sz w:val="20"/>
        </w:rPr>
        <w:t>对话围绕公司项目的推进情况、信用减值损失的原因、应收账款管理及转债发行计划展开。项目虽未正式立项，但正与市场交流，预计明年增量明显。信用减值损失增加源于会计政策调整，不影响现金流状况。应收账款回收受重视，垃圾焚烧发电项目占比大，正通过考核与督办措施加强管理。转债发行计划考虑市场情况，预计明年一季度进行。</w:t>
      </w:r>
    </w:p>
    <w:p>
      <w:r>
        <w:rPr>
          <w:rFonts w:ascii="等线(中文正文)" w:hAnsi="等线(中文正文)" w:cs="等线(中文正文)" w:eastAsia="等线(中文正文)"/>
          <w:b w:val="false"/>
          <w:i w:val="false"/>
          <w:sz w:val="20"/>
        </w:rPr>
        <w:t/>
      </w:r>
    </w:p>
    <w:p>
      <w:pPr>
        <w:pStyle w:val="ab"/>
        <w:numPr>
          <w:numId w:val="6"/>
        </w:numPr>
      </w:pPr>
      <w:r>
        <w:t>31:10 2026年Q1业绩增长分析与提油率提升讨论</w:t>
      </w:r>
    </w:p>
    <w:p>
      <w:r>
        <w:rPr>
          <w:rFonts w:ascii="等线(中文正文)" w:hAnsi="等线(中文正文)" w:cs="等线(中文正文)" w:eastAsia="等线(中文正文)"/>
          <w:b w:val="false"/>
          <w:i w:val="false"/>
          <w:sz w:val="20"/>
        </w:rPr>
        <w:t>对话围绕2026年第一季度强劲业绩增长展开，重点分析了废油脂价格提升、工程产值增加及处理量微增长对收入的贡献。提油率整体提升0.5到1个点，各项目均有不同程度增长，无单一项目主导。强调了垃圾收运与处理效率提升对运营收入的正向影响，及未来提油率增长空间的探讨。</w:t>
      </w:r>
    </w:p>
    <w:p>
      <w:r>
        <w:rPr>
          <w:rFonts w:ascii="等线(中文正文)" w:hAnsi="等线(中文正文)" w:cs="等线(中文正文)" w:eastAsia="等线(中文正文)"/>
          <w:b w:val="false"/>
          <w:i w:val="false"/>
          <w:sz w:val="20"/>
        </w:rPr>
        <w:t/>
      </w:r>
    </w:p>
    <w:p>
      <w:pPr>
        <w:pStyle w:val="ab"/>
        <w:numPr>
          <w:numId w:val="7"/>
        </w:numPr>
      </w:pPr>
      <w:r>
        <w:t>36:52 公司海外布局与HMO业务进展</w:t>
      </w:r>
    </w:p>
    <w:p>
      <w:r>
        <w:rPr>
          <w:rFonts w:ascii="等线(中文正文)" w:hAnsi="等线(中文正文)" w:cs="等线(中文正文)" w:eastAsia="等线(中文正文)"/>
          <w:b w:val="false"/>
          <w:i w:val="false"/>
          <w:sz w:val="20"/>
        </w:rPr>
        <w:t>公司规划在东南亚、南美等地布局非油脂业务，预计今年将实现收入。HMO业务进展顺利，产品矩阵新增，有望下半年获批成人应用，珠海产线已稳定生产，2026年研发费用预计提升但不及2024年水平。</w:t>
      </w:r>
    </w:p>
    <w:p>
      <w:r>
        <w:rPr>
          <w:rFonts w:ascii="等线(中文正文)" w:hAnsi="等线(中文正文)" w:cs="等线(中文正文)" w:eastAsia="等线(中文正文)"/>
          <w:b w:val="false"/>
          <w:i w:val="false"/>
          <w:sz w:val="20"/>
        </w:rPr>
        <w:t/>
      </w:r>
    </w:p>
    <w:p>
      <w:pPr>
        <w:pStyle w:val="ab"/>
        <w:numPr>
          <w:numId w:val="8"/>
        </w:numPr>
      </w:pPr>
      <w:r>
        <w:t>41:38 海外油脂市场布局与收并购策略探讨</w:t>
      </w:r>
    </w:p>
    <w:p>
      <w:r>
        <w:rPr>
          <w:rFonts w:ascii="等线(中文正文)" w:hAnsi="等线(中文正文)" w:cs="等线(中文正文)" w:eastAsia="等线(中文正文)"/>
          <w:b w:val="false"/>
          <w:i w:val="false"/>
          <w:sz w:val="20"/>
        </w:rPr>
        <w:t>对话围绕海外油脂市场布局展开，涉及东南亚酸化棕榈油及南美酸化大豆油的市场潜力、价格竞争与成本分析，以及国内废油脂收集商和中间商的角色。讨论了海外业务开拓初期的挑战，包括价格波动与政策限制，以及未来收并购具有前端特许经营项目的偏好，尤其关注重庆和四川地区，强调收并购成本可能高于新建项目。</w:t>
      </w:r>
    </w:p>
    <w:p>
      <w:r>
        <w:rPr>
          <w:rFonts w:ascii="等线(中文正文)" w:hAnsi="等线(中文正文)" w:cs="等线(中文正文)" w:eastAsia="等线(中文正文)"/>
          <w:b w:val="false"/>
          <w:i w:val="false"/>
          <w:sz w:val="20"/>
        </w:rPr>
        <w:t/>
      </w:r>
    </w:p>
    <w:p>
      <w:pPr>
        <w:pStyle w:val="ab"/>
        <w:numPr>
          <w:numId w:val="9"/>
        </w:numPr>
      </w:pPr>
      <w:r>
        <w:t>45:07 2026年公司经营展望与战略转型</w:t>
      </w:r>
    </w:p>
    <w:p>
      <w:r>
        <w:rPr>
          <w:rFonts w:ascii="等线(中文正文)" w:hAnsi="等线(中文正文)" w:cs="等线(中文正文)" w:eastAsia="等线(中文正文)"/>
          <w:b w:val="false"/>
          <w:i w:val="false"/>
          <w:sz w:val="20"/>
        </w:rPr>
        <w:t>讨论了2026年公司工程项目的规模与体量，以及废油脂、生物柴油等业务的增长预期。强调了公司聚焦废弃油脂处理的战略转型，目标成为中国最大的萨普原料供应商，并对2026年及以后的快速增长充满信心。</w:t>
      </w:r>
    </w:p>
    <w:p>
      <w:r>
        <w:rPr>
          <w:rFonts w:ascii="等线(中文正文)" w:hAnsi="等线(中文正文)" w:cs="等线(中文正文)" w:eastAsia="等线(中文正文)"/>
          <w:b w:val="false"/>
          <w:i w:val="false"/>
          <w:sz w:val="20"/>
        </w:rPr>
        <w:t/>
      </w:r>
    </w:p>
    <w:p>
      <w:pPr>
        <w:pStyle w:val="a7"/>
      </w:pPr>
      <w:r>
        <w:t>发言总结</w:t>
      </w:r>
    </w:p>
    <w:p>
      <w:pPr>
        <w:pStyle w:val="ab"/>
        <w:numPr>
          <w:numId w:val="10"/>
        </w:numPr>
      </w:pPr>
      <w:r>
        <w:t>发言人1</w:t>
      </w:r>
    </w:p>
    <w:p>
      <w:r>
        <w:rPr>
          <w:rFonts w:ascii="等线(中文正文)" w:hAnsi="等线(中文正文)" w:cs="等线(中文正文)" w:eastAsia="等线(中文正文)"/>
          <w:b w:val="false"/>
          <w:i w:val="false"/>
          <w:sz w:val="20"/>
        </w:rPr>
        <w:t>首先祝贺朗坤科技在2025年及2026年一季度取得的业绩增长，并感谢投资者与参会嘉宾的参与。接着，详细介绍了公司财务总监陈文娟对2025年整体财务业绩的总结，包括营业收入、净利润、基本每股收益等关键指标，以及收入结构和业务亮点，特别强调了生物能源业务和运营服务业务的强劲表现和市场策略的成功。他还提到，2026年一季度公司继续保持高增长态势，营业收入和净利润分别同比增长21.85%和21.44%，营业能力和现金流稳健。此外，他回应了投资者关于公司海外布局、研发费用、以及未来业务增长预期等问题，表达了对公司持续增长的信心。最后，他代表公司感谢投资者的支持，并期待未来的合作。</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问：朗坤科技在2025年以及2026年一季度的业绩增长情况如何？朗坤科技2026年第一季度的财务表现如何？</w:t>
      </w:r>
    </w:p>
    <w:p>
      <w:r>
        <w:rPr>
          <w:rFonts w:ascii="等线(中文正文)" w:hAnsi="等线(中文正文)" w:cs="等线(中文正文)" w:eastAsia="等线(中文正文)"/>
          <w:b w:val="false"/>
          <w:i w:val="false"/>
          <w:sz w:val="20"/>
        </w:rPr>
        <w:t>发言人1 答：朗坤科技在2025年取得了非常可喜的业绩增长，全年实现营业收入17.97亿元，同比增长了0.35%。归属于上市公司股东的净利润为2.65亿元，同比大幅增长了23.11%。扣除非经常性损益后的净利润为2.7亿元，同比增长了22.23%。基本每股收益为1.1016元，同比增长了23.68%。利润的增长主要得益于核心业务——生物能源业务的强劲表现以及运营服务能力的稳步提升。2026年第一季度，朗坤科技延续了高增长态势，实现营业收入5.02亿元，同比增长21.85%。归母净利润为9332万元，同比增长21.44%。扣非净利润为9269万元，同比增长22.05%。公司营业能力强劲，基本每股收益0.3869元，同比增长21.06%，加权平均净资产收益率提升至2.43%。同时，经营活动现金流量达到1.3亿元，同比增长8.01%，显示出稳健的盈利能力及高现金含量。</w:t>
      </w:r>
    </w:p>
    <w:p>
      <w:r>
        <w:rPr>
          <w:rFonts w:ascii="等线(中文正文)" w:hAnsi="等线(中文正文)" w:cs="等线(中文正文)" w:eastAsia="等线(中文正文)"/>
          <w:b w:val="false"/>
          <w:i w:val="false"/>
          <w:sz w:val="20"/>
        </w:rPr>
        <w:t/>
      </w:r>
    </w:p>
    <w:p>
      <w:pPr>
        <w:pStyle w:val="ab"/>
      </w:pPr>
      <w:r>
        <w:t>发言人1 问：朗坤科技的收入结构和业务亮点有哪些？朗坤科技对未来业务展望是怎样的？</w:t>
      </w:r>
    </w:p>
    <w:p>
      <w:r>
        <w:rPr>
          <w:rFonts w:ascii="等线(中文正文)" w:hAnsi="等线(中文正文)" w:cs="等线(中文正文)" w:eastAsia="等线(中文正文)"/>
          <w:b w:val="false"/>
          <w:i w:val="false"/>
          <w:sz w:val="20"/>
        </w:rPr>
        <w:t>发言人1 答：收入结构方面，朗坤科技全年三大业务板块呈现不同发展态势。生物能源业务作为第一大收入来源，全年实现收入9.84亿元，同比增长25.15%，占总营收比重从44%提升至54.76%。运营服务业务实现收入6.38亿元，同比增长9.81%，占营业收入比重35.49%。工程建造服务收入为1.68亿元，同比减少59.77%。毛利率变化上，整体毛利率从去年的29.46%提升至33.18%，主要得益于运营服务和生物能源两大核心业务盈利能力增强。面对复杂多变的市场环境，朗坤科技在2025年实现了稳健增长。对于2026年，公司将坚持双主业战略，稳固生物质资源再生业务基本盘的同时，全力推动合成生物制造业务市场拓展，力争创造更大价值。</w:t>
      </w:r>
    </w:p>
    <w:p>
      <w:r>
        <w:rPr>
          <w:rFonts w:ascii="等线(中文正文)" w:hAnsi="等线(中文正文)" w:cs="等线(中文正文)" w:eastAsia="等线(中文正文)"/>
          <w:b w:val="false"/>
          <w:i w:val="false"/>
          <w:sz w:val="20"/>
        </w:rPr>
        <w:t/>
      </w:r>
    </w:p>
    <w:p>
      <w:pPr>
        <w:pStyle w:val="ab"/>
      </w:pPr>
      <w:r>
        <w:t>发言人1 问：朗坤科技在费用、现金流和资产负债状况方面的表现如何？</w:t>
      </w:r>
    </w:p>
    <w:p>
      <w:r>
        <w:rPr>
          <w:rFonts w:ascii="等线(中文正文)" w:hAnsi="等线(中文正文)" w:cs="等线(中文正文)" w:eastAsia="等线(中文正文)"/>
          <w:b w:val="false"/>
          <w:i w:val="false"/>
          <w:sz w:val="20"/>
        </w:rPr>
        <w:t>发言人1 答：费用方面，公司继续保持良好控制，销售费用和管理费用分别增长7.91%和7.01%，研发费用同比下降48.73%，主要是因为部分研发项目按计划结题。现金流方面，全年经营活动产生的现金流量金额达到4.73亿元，同比增长20.84%，主要是由于生物能源产品销售回款增加。截至2025年末，公司资产总额61.89亿元，归属于上市公司股东的净资产37.93亿元，资产负债率37.04%，整体财务状况健康。此外，公司还推出了每10股派发现金红利2元的利润分配预案。</w:t>
      </w:r>
    </w:p>
    <w:p>
      <w:r>
        <w:rPr>
          <w:rFonts w:ascii="等线(中文正文)" w:hAnsi="等线(中文正文)" w:cs="等线(中文正文)" w:eastAsia="等线(中文正文)"/>
          <w:b w:val="false"/>
          <w:i w:val="false"/>
          <w:sz w:val="20"/>
        </w:rPr>
        <w:t/>
      </w:r>
    </w:p>
    <w:p>
      <w:pPr>
        <w:pStyle w:val="ab"/>
      </w:pPr>
      <w:r>
        <w:t>发言人1 问：2025年公司财务情况以及2026年一季度的财务增长动力和战略执行路径如何？</w:t>
      </w:r>
    </w:p>
    <w:p>
      <w:r>
        <w:rPr>
          <w:rFonts w:ascii="等线(中文正文)" w:hAnsi="等线(中文正文)" w:cs="等线(中文正文)" w:eastAsia="等线(中文正文)"/>
          <w:b w:val="false"/>
          <w:i w:val="false"/>
          <w:sz w:val="20"/>
        </w:rPr>
        <w:t>发言人1 答：我们北京智慧生物科技创新项目的投入持续增加，公司近期启动了向不特定对象发行可转换公司债券的准备工作，以储备长期资金。2026年一季度在2025年的稳健增长基础上，展现出了更强的增长动力和清晰的战略执行路径。</w:t>
      </w:r>
    </w:p>
    <w:p>
      <w:r>
        <w:rPr>
          <w:rFonts w:ascii="等线(中文正文)" w:hAnsi="等线(中文正文)" w:cs="等线(中文正文)" w:eastAsia="等线(中文正文)"/>
          <w:b w:val="false"/>
          <w:i w:val="false"/>
          <w:sz w:val="20"/>
        </w:rPr>
        <w:t/>
      </w:r>
    </w:p>
    <w:p>
      <w:pPr>
        <w:pStyle w:val="ab"/>
      </w:pPr>
      <w:r>
        <w:t>发言人1 问：如果按照运营项目的类型拆分业务结构，比如餐厨垃圾处置、垃圾焚烧、动物固废以及BOT建造等，在2025年的业绩贡献如何？</w:t>
      </w:r>
    </w:p>
    <w:p>
      <w:r>
        <w:rPr>
          <w:rFonts w:ascii="等线(中文正文)" w:hAnsi="等线(中文正文)" w:cs="等线(中文正文)" w:eastAsia="等线(中文正文)"/>
          <w:b w:val="false"/>
          <w:i w:val="false"/>
          <w:sz w:val="20"/>
        </w:rPr>
        <w:t>发言人1 答：如果不考虑地铁项目结算核减的影响，2025年工程建造业务收入约为2亿。运营服务方面，垃圾收运和垃圾处理（包括厨余处理、餐厨处理、固废处理和污废物处理）的收入占比大约为1.5亿左右和5亿左右。生物能源板块中，生物柴油在2026年的收入约为3.5亿，生物油收入约为4亿，加上其他油类收入接近1亿。此外，垃圾焚烧带来的电力销售收入在1.1亿至1.5亿之间。</w:t>
      </w:r>
    </w:p>
    <w:p>
      <w:r>
        <w:rPr>
          <w:rFonts w:ascii="等线(中文正文)" w:hAnsi="等线(中文正文)" w:cs="等线(中文正文)" w:eastAsia="等线(中文正文)"/>
          <w:b w:val="false"/>
          <w:i w:val="false"/>
          <w:sz w:val="20"/>
        </w:rPr>
        <w:t/>
      </w:r>
    </w:p>
    <w:p>
      <w:pPr>
        <w:pStyle w:val="ab"/>
      </w:pPr>
      <w:r>
        <w:t>发言人1 问：深圳城市轨交项目对利润的影响有多大？以及存货跌价损失和合同履约成本减值损失的影响情况？</w:t>
      </w:r>
    </w:p>
    <w:p>
      <w:r>
        <w:rPr>
          <w:rFonts w:ascii="等线(中文正文)" w:hAnsi="等线(中文正文)" w:cs="等线(中文正文)" w:eastAsia="等线(中文正文)"/>
          <w:b w:val="false"/>
          <w:i w:val="false"/>
          <w:sz w:val="20"/>
        </w:rPr>
        <w:t>发言人1 答：深圳城市轨交项目对净利润的影响约为3000万元。若不考虑该项目的影响，今年利润增长将在当前基础上再增长约35%。该项目的结算核减导致利润减少3000万元，资产负债方面主要是合同资产转为应收账款引起的科目转化，未对资产负债造成其他影响。</w:t>
      </w:r>
    </w:p>
    <w:p>
      <w:r>
        <w:rPr>
          <w:rFonts w:ascii="等线(中文正文)" w:hAnsi="等线(中文正文)" w:cs="等线(中文正文)" w:eastAsia="等线(中文正文)"/>
          <w:b w:val="false"/>
          <w:i w:val="false"/>
          <w:sz w:val="20"/>
        </w:rPr>
        <w:t/>
      </w:r>
    </w:p>
    <w:p>
      <w:pPr>
        <w:pStyle w:val="ab"/>
      </w:pPr>
      <w:r>
        <w:t>发言人1 问：优酷销量和价格在2025年和2026年一季度的水平分别是什么？自产油占比是多少？</w:t>
      </w:r>
    </w:p>
    <w:p>
      <w:r>
        <w:rPr>
          <w:rFonts w:ascii="等线(中文正文)" w:hAnsi="等线(中文正文)" w:cs="等线(中文正文)" w:eastAsia="等线(中文正文)"/>
          <w:b w:val="false"/>
          <w:i w:val="false"/>
          <w:sz w:val="20"/>
        </w:rPr>
        <w:t>发言人1 答：2025年一季度优酷含税销售价格在7300到7500元左右，较2026年增加约200块钱。目前自产油在生物油中占比大约50%。</w:t>
      </w:r>
    </w:p>
    <w:p>
      <w:r>
        <w:rPr>
          <w:rFonts w:ascii="等线(中文正文)" w:hAnsi="等线(中文正文)" w:cs="等线(中文正文)" w:eastAsia="等线(中文正文)"/>
          <w:b w:val="false"/>
          <w:i w:val="false"/>
          <w:sz w:val="20"/>
        </w:rPr>
        <w:t/>
      </w:r>
    </w:p>
    <w:p>
      <w:pPr>
        <w:pStyle w:val="ab"/>
      </w:pPr>
      <w:r>
        <w:t>发言人1 问：对于2026年全年优酷销量和价格的判断是怎样的？</w:t>
      </w:r>
    </w:p>
    <w:p>
      <w:r>
        <w:rPr>
          <w:rFonts w:ascii="等线(中文正文)" w:hAnsi="等线(中文正文)" w:cs="等线(中文正文)" w:eastAsia="等线(中文正文)"/>
          <w:b w:val="false"/>
          <w:i w:val="false"/>
          <w:sz w:val="20"/>
        </w:rPr>
        <w:t>发言人1 答：目前判断由于SAP原材料紧缺，市场整体油价呈向上趋势，但可能会有一些波动，总体是一个上行趋势。具体请严总进行补充说明。</w:t>
      </w:r>
    </w:p>
    <w:p>
      <w:r>
        <w:rPr>
          <w:rFonts w:ascii="等线(中文正文)" w:hAnsi="等线(中文正文)" w:cs="等线(中文正文)" w:eastAsia="等线(中文正文)"/>
          <w:b w:val="false"/>
          <w:i w:val="false"/>
          <w:sz w:val="20"/>
        </w:rPr>
        <w:t/>
      </w:r>
    </w:p>
    <w:p>
      <w:pPr>
        <w:pStyle w:val="ab"/>
      </w:pPr>
      <w:r>
        <w:t>发言人1 问：公司今年优酷产量预计会是多少？</w:t>
      </w:r>
    </w:p>
    <w:p>
      <w:r>
        <w:rPr>
          <w:rFonts w:ascii="等线(中文正文)" w:hAnsi="等线(中文正文)" w:cs="等线(中文正文)" w:eastAsia="等线(中文正文)"/>
          <w:b w:val="false"/>
          <w:i w:val="false"/>
          <w:sz w:val="20"/>
        </w:rPr>
        <w:t>发言人1 答：我们自产油的产量大概在五万多吨，去年约为5.3万吨，今年预计会略多一些。同时，我们还计划通过北京通州项目、深圳油脂项目以及海外布局等方式增加产量。其中，北京通州的10万吨生物能源项目将在今年下半年进入试运营阶段。</w:t>
      </w:r>
    </w:p>
    <w:p>
      <w:r>
        <w:rPr>
          <w:rFonts w:ascii="等线(中文正文)" w:hAnsi="等线(中文正文)" w:cs="等线(中文正文)" w:eastAsia="等线(中文正文)"/>
          <w:b w:val="false"/>
          <w:i w:val="false"/>
          <w:sz w:val="20"/>
        </w:rPr>
        <w:t/>
      </w:r>
    </w:p>
    <w:p>
      <w:pPr>
        <w:pStyle w:val="ab"/>
      </w:pPr>
      <w:r>
        <w:t>发言人1 问：公司如何看待未来优酷价格走势？2022年及2023年Q1优酷价格变动情况如何？</w:t>
      </w:r>
    </w:p>
    <w:p>
      <w:r>
        <w:rPr>
          <w:rFonts w:ascii="等线(中文正文)" w:hAnsi="等线(中文正文)" w:cs="等线(中文正文)" w:eastAsia="等线(中文正文)"/>
          <w:b w:val="false"/>
          <w:i w:val="false"/>
          <w:sz w:val="20"/>
        </w:rPr>
        <w:t>发言人1 答：鉴于下游萨普产能逐步提升和优酷的稀缺性，我们认为优酷未来将有一个稳定上涨的价格。随着萨普和生物柴油需求的增长，优酷价格与生物柴油的价格差距会逐渐减少，因此我们对优酷价格上涨持乐观态度。2022年生物柴油价格上涨到13000人民币每吨时，优酷价格涨至11000人民币每吨。目前，尽管萨普价格接近2万人民币，但优酷价格只有七千多人民币，两者差价有一万多。随着下游产能提升和开工率提高，对优酷需求增加，我们预计这个差价会缩小。</w:t>
      </w:r>
    </w:p>
    <w:p>
      <w:r>
        <w:rPr>
          <w:rFonts w:ascii="等线(中文正文)" w:hAnsi="等线(中文正文)" w:cs="等线(中文正文)" w:eastAsia="等线(中文正文)"/>
          <w:b w:val="false"/>
          <w:i w:val="false"/>
          <w:sz w:val="20"/>
        </w:rPr>
        <w:t/>
      </w:r>
    </w:p>
    <w:p>
      <w:pPr>
        <w:pStyle w:val="ab"/>
      </w:pPr>
      <w:r>
        <w:t>发言人1 问：通州项目投产后产能爬坡预期是怎样的？</w:t>
      </w:r>
    </w:p>
    <w:p>
      <w:r>
        <w:rPr>
          <w:rFonts w:ascii="等线(中文正文)" w:hAnsi="等线(中文正文)" w:cs="等线(中文正文)" w:eastAsia="等线(中文正文)"/>
          <w:b w:val="false"/>
          <w:i w:val="false"/>
          <w:sz w:val="20"/>
        </w:rPr>
        <w:t>发言人1 答：通州项目预计半年到一年内达到满产状态，大概率会在2027年下半年实现满产。而房山项目由于考古等原因延迟，目前进展只达到20%，具体竣工时间正在与政府沟通协商中。</w:t>
      </w:r>
    </w:p>
    <w:p>
      <w:r>
        <w:rPr>
          <w:rFonts w:ascii="等线(中文正文)" w:hAnsi="等线(中文正文)" w:cs="等线(中文正文)" w:eastAsia="等线(中文正文)"/>
          <w:b w:val="false"/>
          <w:i w:val="false"/>
          <w:sz w:val="20"/>
        </w:rPr>
        <w:t/>
      </w:r>
    </w:p>
    <w:p>
      <w:pPr>
        <w:pStyle w:val="ab"/>
      </w:pPr>
      <w:r>
        <w:t>发言人1 问：对于深圳项目能否具体介绍一下？</w:t>
      </w:r>
    </w:p>
    <w:p>
      <w:r>
        <w:rPr>
          <w:rFonts w:ascii="等线(中文正文)" w:hAnsi="等线(中文正文)" w:cs="等线(中文正文)" w:eastAsia="等线(中文正文)"/>
          <w:b w:val="false"/>
          <w:i w:val="false"/>
          <w:sz w:val="20"/>
        </w:rPr>
        <w:t>发言人1 答：深圳项目目前还未进入立项阶段，但公司计划在该领域做相应准备工作，并会持续与市场交流进展。</w:t>
      </w:r>
    </w:p>
    <w:p>
      <w:r>
        <w:rPr>
          <w:rFonts w:ascii="等线(中文正文)" w:hAnsi="等线(中文正文)" w:cs="等线(中文正文)" w:eastAsia="等线(中文正文)"/>
          <w:b w:val="false"/>
          <w:i w:val="false"/>
          <w:sz w:val="20"/>
        </w:rPr>
        <w:t/>
      </w:r>
    </w:p>
    <w:p>
      <w:pPr>
        <w:pStyle w:val="ab"/>
      </w:pPr>
      <w:r>
        <w:t>发言人1 问：2026年全年产量预计会增加多少？</w:t>
      </w:r>
    </w:p>
    <w:p>
      <w:r>
        <w:rPr>
          <w:rFonts w:ascii="等线(中文正文)" w:hAnsi="等线(中文正文)" w:cs="等线(中文正文)" w:eastAsia="等线(中文正文)"/>
          <w:b w:val="false"/>
          <w:i w:val="false"/>
          <w:sz w:val="20"/>
        </w:rPr>
        <w:t>发言人1 答：今年产量将有一定增加，但具体增量比例尚无法给出明确指引，明年产量可能会有更明显的增长。</w:t>
      </w:r>
    </w:p>
    <w:p>
      <w:r>
        <w:rPr>
          <w:rFonts w:ascii="等线(中文正文)" w:hAnsi="等线(中文正文)" w:cs="等线(中文正文)" w:eastAsia="等线(中文正文)"/>
          <w:b w:val="false"/>
          <w:i w:val="false"/>
          <w:sz w:val="20"/>
        </w:rPr>
        <w:t/>
      </w:r>
    </w:p>
    <w:p>
      <w:pPr>
        <w:pStyle w:val="ab"/>
      </w:pPr>
      <w:r>
        <w:t>发言人1 问：2026年一季度信用减值损失为何增加？</w:t>
      </w:r>
    </w:p>
    <w:p>
      <w:r>
        <w:rPr>
          <w:rFonts w:ascii="等线(中文正文)" w:hAnsi="等线(中文正文)" w:cs="等线(中文正文)" w:eastAsia="等线(中文正文)"/>
          <w:b w:val="false"/>
          <w:i w:val="false"/>
          <w:sz w:val="20"/>
        </w:rPr>
        <w:t>发言人1 答：信用减值损失的增加主要源于公司在计提坏账方式上的调整，以及ERP系统信息化建设提升后对应收账款减值处理方法的变化。这导致今年一季度的应收账款减值比去年同期更大，但随着回款情况的好转，这一差异会逐渐减少。</w:t>
      </w:r>
    </w:p>
    <w:p>
      <w:r>
        <w:rPr>
          <w:rFonts w:ascii="等线(中文正文)" w:hAnsi="等线(中文正文)" w:cs="等线(中文正文)" w:eastAsia="等线(中文正文)"/>
          <w:b w:val="false"/>
          <w:i w:val="false"/>
          <w:sz w:val="20"/>
        </w:rPr>
        <w:t/>
      </w:r>
    </w:p>
    <w:p>
      <w:pPr>
        <w:pStyle w:val="ab"/>
      </w:pPr>
      <w:r>
        <w:t>发言人1 问：公司转债计划何时发行？</w:t>
      </w:r>
    </w:p>
    <w:p>
      <w:r>
        <w:rPr>
          <w:rFonts w:ascii="等线(中文正文)" w:hAnsi="等线(中文正文)" w:cs="等线(中文正文)" w:eastAsia="等线(中文正文)"/>
          <w:b w:val="false"/>
          <w:i w:val="false"/>
          <w:sz w:val="20"/>
        </w:rPr>
        <w:t>发言人1 答：目前短债已发预案，中介机构也启动了竞调工作，预计在明年一季度发行，但具体时间会结合市场情况决定。</w:t>
      </w:r>
    </w:p>
    <w:p>
      <w:r>
        <w:rPr>
          <w:rFonts w:ascii="等线(中文正文)" w:hAnsi="等线(中文正文)" w:cs="等线(中文正文)" w:eastAsia="等线(中文正文)"/>
          <w:b w:val="false"/>
          <w:i w:val="false"/>
          <w:sz w:val="20"/>
        </w:rPr>
        <w:t/>
      </w:r>
    </w:p>
    <w:p>
      <w:pPr>
        <w:pStyle w:val="ab"/>
      </w:pPr>
      <w:r>
        <w:t>发言人1 问：根据最新计提方式，2026年全年应收账款减值规模预期是多少？</w:t>
      </w:r>
    </w:p>
    <w:p>
      <w:r>
        <w:rPr>
          <w:rFonts w:ascii="等线(中文正文)" w:hAnsi="等线(中文正文)" w:cs="等线(中文正文)" w:eastAsia="等线(中文正文)"/>
          <w:b w:val="false"/>
          <w:i w:val="false"/>
          <w:sz w:val="20"/>
        </w:rPr>
        <w:t>发言人1 答：由于应收账款结构复杂，包括各块账龄的影响，很难准确预估2026年全年的减值规模，需要根据回款情况和对应账龄来确定。</w:t>
      </w:r>
    </w:p>
    <w:p>
      <w:r>
        <w:rPr>
          <w:rFonts w:ascii="等线(中文正文)" w:hAnsi="等线(中文正文)" w:cs="等线(中文正文)" w:eastAsia="等线(中文正文)"/>
          <w:b w:val="false"/>
          <w:i w:val="false"/>
          <w:sz w:val="20"/>
        </w:rPr>
        <w:t/>
      </w:r>
    </w:p>
    <w:p>
      <w:pPr>
        <w:pStyle w:val="ab"/>
      </w:pPr>
      <w:r>
        <w:t>发言人1 问：公司如何管理应收账款以确保现金流和基本盘的影响？</w:t>
      </w:r>
    </w:p>
    <w:p>
      <w:r>
        <w:rPr>
          <w:rFonts w:ascii="等线(中文正文)" w:hAnsi="等线(中文正文)" w:cs="等线(中文正文)" w:eastAsia="等线(中文正文)"/>
          <w:b w:val="false"/>
          <w:i w:val="false"/>
          <w:sz w:val="20"/>
        </w:rPr>
        <w:t>发言人1 答：公司对每个项目的总经理设定了考核目标，要求他们在规定时间内完成政府应收账款的回款，并由财务部门按月督办应收账款回款的进展情况，包括存在的问题及解决方案。公司非常重视应收账款控制，持续将应收账款规模作为关键控制点。</w:t>
      </w:r>
    </w:p>
    <w:p>
      <w:r>
        <w:rPr>
          <w:rFonts w:ascii="等线(中文正文)" w:hAnsi="等线(中文正文)" w:cs="等线(中文正文)" w:eastAsia="等线(中文正文)"/>
          <w:b w:val="false"/>
          <w:i w:val="false"/>
          <w:sz w:val="20"/>
        </w:rPr>
        <w:t/>
      </w:r>
    </w:p>
    <w:p>
      <w:pPr>
        <w:pStyle w:val="ab"/>
      </w:pPr>
      <w:r>
        <w:t>发言人1 问：2026年Q1核心增长强劲，废油脂价格提升导致废油纸收入增加，还有其他因素吗？</w:t>
      </w:r>
    </w:p>
    <w:p>
      <w:r>
        <w:rPr>
          <w:rFonts w:ascii="等线(中文正文)" w:hAnsi="等线(中文正文)" w:cs="等线(中文正文)" w:eastAsia="等线(中文正文)"/>
          <w:b w:val="false"/>
          <w:i w:val="false"/>
          <w:sz w:val="20"/>
        </w:rPr>
        <w:t>发言人1 答：Q1增长中，工程板块占比较大，工程产值从上年同期的三千多万增长至八千多万，此外，油价上涨和处理量提升也带来了整体业绩的强劲表现。</w:t>
      </w:r>
    </w:p>
    <w:p>
      <w:r>
        <w:rPr>
          <w:rFonts w:ascii="等线(中文正文)" w:hAnsi="等线(中文正文)" w:cs="等线(中文正文)" w:eastAsia="等线(中文正文)"/>
          <w:b w:val="false"/>
          <w:i w:val="false"/>
          <w:sz w:val="20"/>
        </w:rPr>
        <w:t/>
      </w:r>
    </w:p>
    <w:p>
      <w:pPr>
        <w:pStyle w:val="ab"/>
      </w:pPr>
      <w:r>
        <w:t>发言人1 问：Q1仓储处置量同比变化情况及提升原因是什么？</w:t>
      </w:r>
    </w:p>
    <w:p>
      <w:r>
        <w:rPr>
          <w:rFonts w:ascii="等线(中文正文)" w:hAnsi="等线(中文正文)" w:cs="等线(中文正文)" w:eastAsia="等线(中文正文)"/>
          <w:b w:val="false"/>
          <w:i w:val="false"/>
          <w:sz w:val="20"/>
        </w:rPr>
        <w:t>发言人1 答：Q1仓储处置量实现微增长，运营上虽然有所提升但不特别强劲，增长幅度在5%左右。提升主要源于垃圾收运和垃圾处理工作的加强，而非显著增加，提油率的提高对财务利润有正向影响。</w:t>
      </w:r>
    </w:p>
    <w:p>
      <w:r>
        <w:rPr>
          <w:rFonts w:ascii="等线(中文正文)" w:hAnsi="等线(中文正文)" w:cs="等线(中文正文)" w:eastAsia="等线(中文正文)"/>
          <w:b w:val="false"/>
          <w:i w:val="false"/>
          <w:sz w:val="20"/>
        </w:rPr>
        <w:t/>
      </w:r>
    </w:p>
    <w:p>
      <w:pPr>
        <w:pStyle w:val="ab"/>
      </w:pPr>
      <w:r>
        <w:t>发言人1 问：当前提油率水平及增长空间？</w:t>
      </w:r>
    </w:p>
    <w:p>
      <w:r>
        <w:rPr>
          <w:rFonts w:ascii="等线(中文正文)" w:hAnsi="等线(中文正文)" w:cs="等线(中文正文)" w:eastAsia="等线(中文正文)"/>
          <w:b w:val="false"/>
          <w:i w:val="false"/>
          <w:sz w:val="20"/>
        </w:rPr>
        <w:t>发言人1 答：目前各个项目提油率各有差异，整体提油率在3到4之间，且有一定增长空间。</w:t>
      </w:r>
    </w:p>
    <w:p>
      <w:r>
        <w:rPr>
          <w:rFonts w:ascii="等线(中文正文)" w:hAnsi="等线(中文正文)" w:cs="等线(中文正文)" w:eastAsia="等线(中文正文)"/>
          <w:b w:val="false"/>
          <w:i w:val="false"/>
          <w:sz w:val="20"/>
        </w:rPr>
        <w:t/>
      </w:r>
    </w:p>
    <w:p>
      <w:pPr>
        <w:pStyle w:val="ab"/>
      </w:pPr>
      <w:r>
        <w:t>发言人1 问：一季度提油率是否增加以及哪些项目贡献较大？</w:t>
      </w:r>
    </w:p>
    <w:p>
      <w:r>
        <w:rPr>
          <w:rFonts w:ascii="等线(中文正文)" w:hAnsi="等线(中文正文)" w:cs="等线(中文正文)" w:eastAsia="等线(中文正文)"/>
          <w:b w:val="false"/>
          <w:i w:val="false"/>
          <w:sz w:val="20"/>
        </w:rPr>
        <w:t>发言人1 答：一季度整体提油率有所提升，各个仓储项目都有所增长，平均提升约0.5到1个百分点，具体提升较大的项目可能因垃圾质量改善而提油量提高。</w:t>
      </w:r>
    </w:p>
    <w:p>
      <w:r>
        <w:rPr>
          <w:rFonts w:ascii="等线(中文正文)" w:hAnsi="等线(中文正文)" w:cs="等线(中文正文)" w:eastAsia="等线(中文正文)"/>
          <w:b w:val="false"/>
          <w:i w:val="false"/>
          <w:sz w:val="20"/>
        </w:rPr>
        <w:t/>
      </w:r>
    </w:p>
    <w:p>
      <w:pPr>
        <w:pStyle w:val="ab"/>
      </w:pPr>
      <w:r>
        <w:t>发言人1 问：公司海外非油脂布局规划及有潜力的区域？</w:t>
      </w:r>
    </w:p>
    <w:p>
      <w:r>
        <w:rPr>
          <w:rFonts w:ascii="等线(中文正文)" w:hAnsi="等线(中文正文)" w:cs="等线(中文正文)" w:eastAsia="等线(中文正文)"/>
          <w:b w:val="false"/>
          <w:i w:val="false"/>
          <w:sz w:val="20"/>
        </w:rPr>
        <w:t>发言人1 答：公司自去年开始规划，在东南亚、南美地区进行调研，并预计今年在海外项目上实现实质业务，已在信用证开设等方面做好准备，主要关注东南亚、印尼、马来西亚和南美等地，尤其是巴西。</w:t>
      </w:r>
    </w:p>
    <w:p>
      <w:r>
        <w:rPr>
          <w:rFonts w:ascii="等线(中文正文)" w:hAnsi="等线(中文正文)" w:cs="等线(中文正文)" w:eastAsia="等线(中文正文)"/>
          <w:b w:val="false"/>
          <w:i w:val="false"/>
          <w:sz w:val="20"/>
        </w:rPr>
        <w:t/>
      </w:r>
    </w:p>
    <w:p>
      <w:pPr>
        <w:pStyle w:val="ab"/>
      </w:pPr>
      <w:r>
        <w:t>发言人1 问：公司HMO业务进展及今年发展目标？</w:t>
      </w:r>
    </w:p>
    <w:p>
      <w:r>
        <w:rPr>
          <w:rFonts w:ascii="等线(中文正文)" w:hAnsi="等线(中文正文)" w:cs="等线(中文正文)" w:eastAsia="等线(中文正文)"/>
          <w:b w:val="false"/>
          <w:i w:val="false"/>
          <w:sz w:val="20"/>
        </w:rPr>
        <w:t>发言人1 答：HMO业务方面，RFL已通过中国卫健委和美国服务认证，产品矩阵新增，并预计今年下半年获得卫健委审批通过。同时，正与吴北监委沟通扩大应用范围，现有珠海产线已稳定生产合格产品，下游奶粉企业已通过验厂，今年有望实现一定的销售收入，但大规模销售和利润预计在明年。</w:t>
      </w:r>
    </w:p>
    <w:p>
      <w:r>
        <w:rPr>
          <w:rFonts w:ascii="等线(中文正文)" w:hAnsi="等线(中文正文)" w:cs="等线(中文正文)" w:eastAsia="等线(中文正文)"/>
          <w:b w:val="false"/>
          <w:i w:val="false"/>
          <w:sz w:val="20"/>
        </w:rPr>
        <w:t/>
      </w:r>
    </w:p>
    <w:p>
      <w:pPr>
        <w:pStyle w:val="ab"/>
      </w:pPr>
      <w:r>
        <w:t>发言人1 问：2026年研发费用整体预期是否会回到2024年水平？</w:t>
      </w:r>
    </w:p>
    <w:p>
      <w:r>
        <w:rPr>
          <w:rFonts w:ascii="等线(中文正文)" w:hAnsi="等线(中文正文)" w:cs="等线(中文正文)" w:eastAsia="等线(中文正文)"/>
          <w:b w:val="false"/>
          <w:i w:val="false"/>
          <w:sz w:val="20"/>
        </w:rPr>
        <w:t>发言人1 答：预计2026年研发费用会较2025年有所提升，但还未能回到2024年的水平。</w:t>
      </w:r>
    </w:p>
    <w:p>
      <w:r>
        <w:rPr>
          <w:rFonts w:ascii="等线(中文正文)" w:hAnsi="等线(中文正文)" w:cs="等线(中文正文)" w:eastAsia="等线(中文正文)"/>
          <w:b w:val="false"/>
          <w:i w:val="false"/>
          <w:sz w:val="20"/>
        </w:rPr>
        <w:t/>
      </w:r>
    </w:p>
    <w:p>
      <w:pPr>
        <w:pStyle w:val="ab"/>
      </w:pPr>
      <w:r>
        <w:t>发言人1 问：海外在油脂方面是否有较大的布局空间或潜力？目前海外市场是否有规模化废油脂收集商以及与国内成本或价格对比的情况如何？</w:t>
      </w:r>
    </w:p>
    <w:p>
      <w:r>
        <w:rPr>
          <w:rFonts w:ascii="等线(中文正文)" w:hAnsi="等线(中文正文)" w:cs="等线(中文正文)" w:eastAsia="等线(中文正文)"/>
          <w:b w:val="false"/>
          <w:i w:val="false"/>
          <w:sz w:val="20"/>
        </w:rPr>
        <w:t>发言人1 答：海外业务正在开拓中，尚未实现第一笔交易。在东南亚地区，酸化棕榈油和大豆油的竞争量较大，但东南亚国家出台政策限制废弃油脂出口，并实施了强制添加规定。南美的酸化大豆油量也较大，价格实时变动。当海外价格低于国内价格一定幅度时，我们会考虑采购和生产。</w:t>
      </w:r>
    </w:p>
    <w:p>
      <w:r>
        <w:rPr>
          <w:rFonts w:ascii="等线(中文正文)" w:hAnsi="等线(中文正文)" w:cs="等线(中文正文)" w:eastAsia="等线(中文正文)"/>
          <w:b w:val="false"/>
          <w:i w:val="false"/>
          <w:sz w:val="20"/>
        </w:rPr>
        <w:t/>
      </w:r>
    </w:p>
    <w:p>
      <w:pPr>
        <w:pStyle w:val="ab"/>
      </w:pPr>
      <w:r>
        <w:t>发言人1 问：公司是否考虑收并购具有渠道资源的企业，特别是前端特许经营项目？</w:t>
      </w:r>
    </w:p>
    <w:p>
      <w:r>
        <w:rPr>
          <w:rFonts w:ascii="等线(中文正文)" w:hAnsi="等线(中文正文)" w:cs="等线(中文正文)" w:eastAsia="等线(中文正文)"/>
          <w:b w:val="false"/>
          <w:i w:val="false"/>
          <w:sz w:val="20"/>
        </w:rPr>
        <w:t>发言人1 答：我们更倾向于收购具有油脂和餐饮垃圾处理项目的特许经营企业，而非经销商渠道，因为后者毛利较低。目前目标区域包括重庆、四川等油脂量高的地方。</w:t>
      </w:r>
    </w:p>
    <w:p>
      <w:r>
        <w:rPr>
          <w:rFonts w:ascii="等线(中文正文)" w:hAnsi="等线(中文正文)" w:cs="等线(中文正文)" w:eastAsia="等线(中文正文)"/>
          <w:b w:val="false"/>
          <w:i w:val="false"/>
          <w:sz w:val="20"/>
        </w:rPr>
        <w:t/>
      </w:r>
    </w:p>
    <w:p>
      <w:pPr>
        <w:pStyle w:val="ab"/>
      </w:pPr>
      <w:r>
        <w:t>发言人1 问：如果收购已建好的项目，与新建的成本差异大吗？</w:t>
      </w:r>
    </w:p>
    <w:p>
      <w:r>
        <w:rPr>
          <w:rFonts w:ascii="等线(中文正文)" w:hAnsi="等线(中文正文)" w:cs="等线(中文正文)" w:eastAsia="等线(中文正文)"/>
          <w:b w:val="false"/>
          <w:i w:val="false"/>
          <w:sz w:val="20"/>
        </w:rPr>
        <w:t>发言人1 答：收购价格通常会比新建项目高一点，但仍有一定的溢价存在。</w:t>
      </w:r>
    </w:p>
    <w:p>
      <w:r>
        <w:rPr>
          <w:rFonts w:ascii="等线(中文正文)" w:hAnsi="等线(中文正文)" w:cs="等线(中文正文)" w:eastAsia="等线(中文正文)"/>
          <w:b w:val="false"/>
          <w:i w:val="false"/>
          <w:sz w:val="20"/>
        </w:rPr>
        <w:t/>
      </w:r>
    </w:p>
    <w:p>
      <w:pPr>
        <w:pStyle w:val="ab"/>
      </w:pPr>
      <w:r>
        <w:t>发言人1 问：关于2026年的经营情况，能否展望一下整体规模、体量以及废油脂、生物柴油、垃圾发电和相关业务的增长预期或贡献度？</w:t>
      </w:r>
    </w:p>
    <w:p>
      <w:r>
        <w:rPr>
          <w:rFonts w:ascii="等线(中文正文)" w:hAnsi="等线(中文正文)" w:cs="等线(中文正文)" w:eastAsia="等线(中文正文)"/>
          <w:b w:val="false"/>
          <w:i w:val="false"/>
          <w:sz w:val="20"/>
        </w:rPr>
        <w:t>发言人1 答：预计在2026年四季度投料试运营，整体业绩增长有信心，尤其是废弃油脂处理项目。公司聚焦U口量，已布局北京、广州、深圳，并致力于成为中国最大的萨普原料供应商。随着U口价格上行，预计公司增长速度将明显提升。</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2026-04-26T15:13:05Z</dcterms:created>
  <dc:creator>Apache POI</dc:creator>
</cp:coreProperties>
</file>