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Style w:val="ac"/>
      </w:pPr>
      <w:r>
        <w:t>海利得 260421_导读</w:t>
      </w:r>
    </w:p>
    <w:p>
      <w:pPr>
        <w:pStyle w:val="a0"/>
        <w:jc w:val="center"/>
      </w:pPr>
      <w:r>
        <w:t>2026年04月25日 11:35</w:t>
      </w:r>
    </w:p>
    <w:p>
      <w:pPr>
        <w:pStyle w:val="a7"/>
      </w:pPr>
      <w:r>
        <w:t>关键词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 xml:space="preserve">营业收入 净利润 原材料 毛利率 订单 库存 越南公司 倍耐力 汇率 研发投入 客户结构 产能结构 财务费用 公允价值 投资收益 资产减值损失 信用减值损失 新材料 LDP PPS 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全文摘要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华创化工在过去几年面对复杂经济环境，依然实现了稳健增长，2022年利润达5.14亿，同比增长25%，尤其在新材料领域展现了强劲发展势头。展望2025年，公司预计营业收入为58.34亿，净利润5.4亿，同比增长25.28%。通过优化产能、提升产品竞争力、加大研发投入及布局未来产业，公司保持良好盈利水平。讨论涵盖了产品收入构成、毛利率提升、成本控制等，突出了公司在高性能纤维、精细化学品及新材料如LCP、PPS等研发与市场应用方面的进展。面对投资者疑问，公司详细解答了LCP材料销售、光伏反射膜订单及新材料商业化进展，体现了其在新材料领域的战略布局和实施情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章节速览</w:t>
      </w:r>
    </w:p>
    <w:p>
      <w:pPr>
        <w:pStyle w:val="ab"/>
        <w:numPr>
          <w:numId w:val="1"/>
        </w:numPr>
      </w:pPr>
      <w:r>
        <w:t>00:00 公司2025年报解读：逆势增长与战略布局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公司2025年财报显示，尽管国内外环境复杂，但通过优化产能结构、提升产品竞争力和持续研发投入，实现净利润5.14亿元，同比增长25%。主要增长动力来自毛利提升，尤其是工业制毛利增长显著。越南公司利润大幅增加，成为增长关键。公司未来将继续加速布局新材料领域，展现强劲的发展潜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2"/>
        </w:numPr>
      </w:pPr>
      <w:r>
        <w:t>06:11 轮胎供应商认证与未来订单增长分析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轮胎供应商认证及未来订单增长展开，提及高性能轮胎供应商认证进展，以及订单量预计逐步攀升，特别是生物菌类和高规格原子布产品的应用。同时，讨论了替代现有供应商或导入新品类的策略，强调了业务的稳定增长和技术材料的重要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3"/>
        </w:numPr>
      </w:pPr>
      <w:r>
        <w:t>09:38 工业市场变化与原材料价格上涨应对策略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一季度工业市场变化显著，春节前后供应商价格上升，加之战争引发的原油价格上涨，导致大宗原材料成本激增。面对原材料上涨风险，需调整价格策略，确保利润传导至终端用户。车用产品因定价机制稳定，毛利率较平稳，而随堂产品毛利率波动较大。当前库存管理策略为消耗高价库存，避免在原材料价格高位时增加库存，以减少潜在亏损风险，保持库存流动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4"/>
        </w:numPr>
      </w:pPr>
      <w:r>
        <w:t>13:57 越南与国内经济差异及产品策略分析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越南经济与国内经济在产品售价和价差上的差异，指出越南因关税优势在欧美市场毛利率较高。国内正通过开发新品提升竞争力，如马桥基地的PA商用单月产品，虽量不大但毛利率可观。策略上，两基地各有侧重，目标是提升产品差异化和毛利率，同时利用越南的贸易壁垒优势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5"/>
        </w:numPr>
      </w:pPr>
      <w:r>
        <w:t>15:47 新材料产业研究院进展与布局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年初的交流会上，产业研究院总结了其未来发展方向，重点介绍了新材料板块，包括LDP材料及PPS产品的研发与市场应用。LDP材料涵盖聚合、膜与纤维，预计年销量可达30吨，产能达百吨。PPS产品主要用于液流电池等，目前处于百公斤级销售阶段。海利德化学与海利德医疗机械子公司成立，计划在海宁天山园区孵化精细化学品，以满足LTP需求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6"/>
        </w:numPr>
      </w:pPr>
      <w:r>
        <w:t>19:39 公司多元化发展战略与医疗科技子公司规划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公司的多元化发展战略展开，包括从油气化学品类向油脂及其他产品延伸，以及医疗科技子公司的规划。医疗科技子公司定位为未来第三大增长点，专注于医用纤维和生命科学领域，正建立生物平台和获取13485认证。同时，提及越南1.8万吨帘子布项目预计2026年投产，主要面向美国市场，头部客户认证需半年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7"/>
        </w:numPr>
      </w:pPr>
      <w:r>
        <w:t>23:18 塑胶材料行业毛利率提升的双因素分析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塑胶材料行业毛利率同比提升6.23%，主要归因于原材料价格下降后产品价格调整滞后，以及公司层面对低毛利率产品进行严格控制与淘汰，优化高毛利率产品结构，从而推动整体毛利率上涨。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8"/>
        </w:numPr>
      </w:pPr>
      <w:r>
        <w:t>24:43 光伏反射膜与可持续纤维商业进展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光伏反射膜业务受中东地区局势影响，部分项目延期，但市场接受度高，预期2026年营收贡献显著。可持续纤维如PS6PLA已获样品订单，客户涵盖汽车、服装品牌，未来销售规划稳健。公司承诺长期维持约50%的分红比例，反映经营稳健预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9"/>
        </w:numPr>
      </w:pPr>
      <w:r>
        <w:t>27:56 高端纺丝与化纤油剂项目进展及财务预期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讨论了高端纺丝产品的外售比例预计较小但将主动增加，以及化纤油剂项目预计2028年下半年投产，目标毛利率不低于20%。提及产品性能受极端温度影响，需进一步验证，国内已有客户试样认可，但产能限制供货节奏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0"/>
        </w:numPr>
      </w:pPr>
      <w:r>
        <w:t>30:39 氢能隔膜领域市场前景与技术储备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氢能隔膜领域的市场空间、客户验证周期及液流电池应用展开。讨论了能源结构多元化趋势，强调氢能及储能技术在化工领域的应用价值。企业正储备技术，作为产业链核心原材料，但短期内市场爆发可能性不大。未来发展前景广阔，符合国家战略新兴产业规划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1"/>
        </w:numPr>
      </w:pPr>
      <w:r>
        <w:t>33:42 LCP产品与产业基金投资进展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讨论了LCP产品的价格、盈利能力及2025-2026年的销售预期，提及纤维与膜产品的市场表现。同时，回顾了产业基金在半导体设备和中医健康领域的投资进展，强调投资逻辑正逐步规范化，以适应新兴赛道的发展。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  <w:numPr>
          <w:numId w:val="12"/>
        </w:numPr>
      </w:pPr>
      <w:r>
        <w:t>35:44 资本投资于智能商业航天与新材料赛道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对话围绕资本投资于智能商业航天、量子计算等未来赛道展开，强调了在新材料领域的深入研究与布局，特别是高端复合材料的应用，旨在解决智能机器人、商业航天等行业痛点。讨论了投资策略，包括基金规模扩大、头部企业投资及专利布局，目标是通过产业链链接推动技术创新与应用，实现长期价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发言总结</w:t>
      </w:r>
    </w:p>
    <w:p>
      <w:pPr>
        <w:pStyle w:val="ab"/>
        <w:numPr>
          <w:numId w:val="13"/>
        </w:numPr>
      </w:pPr>
      <w:r>
        <w:t>发言人1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他主持的电话会议回顾了公司过去业绩的稳健增长，尤其在净利润和同比增速上的显著提升，即便在复杂多变的国内外经济环境下仍保持强劲态势。会议强调了公司在新材料领域的加速布局，并对未来持乐观态度。具体到2025年，公司预计实现营业收入58.34亿，净利润5.4亿，同比增长25.28%，展现了营收和利润的稳健增长。他还详细讨论了公司在不同产品领域的收入构成、毛利变化，以及对研发和产能优化的重视。面对市场挑战，如原材料价格波动和汇率风险，公司采取了优化产能结构、提升产品竞争力和持续研发投入等策略，以确保持续健康发展。此外，他阐述了公司未来的发展方向，包括加速新材料开发、投资产业基金、布局新赛道如商业航天、量子计算等前沿技术领域，展现了公司对未来发展的坚定信心和积极展望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7"/>
      </w:pPr>
      <w:r>
        <w:t>问答回顾</w:t>
      </w:r>
    </w:p>
    <w:p>
      <w:pPr>
        <w:pStyle w:val="ab"/>
      </w:pPr>
      <w:r>
        <w:t>发言人1 问：公司85年的全年利润和同比增速是多少？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答：全年利润为5.14亿，同比增速为25%。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问：公司在过去几年国内景气度下滑的情况下是如何表现的？公司对新材料有何布局？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答：公司在过去几年即使在国内整体景气度下滑的情况下，仍逆势实现了每年年化配置约20%的增速。公司正在加速布局网新材料领域。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问：请魏总介绍下2025年全年的年报核心数据。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2025年公司实现了较好的盈利水平，营业收入为58.34亿，同比下降1.13%；归属于上市公司股东的净利润为5.4亿，同比上涨25.28%；经营活动产生的现金流净额为7.3亿，较上年同期增长12.67%；基本每股收益实现0.45元每股，较上年同期增长28.57%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问：净利润增长主要在哪里？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净利润增长主要来自毛利的影响，今年毛利总额为11.29亿，较去年增长1.83亿，其中工业制毛利上涨了1.99亿。费用方面总体变动不大，管理费用、销售费用及研发费用均有不同程度的变化，财务费用由于汇率管理操作而增加利润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问：收入构成情况如何？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答：总收入58.34亿中，工业制品占28.95亿（49.62%），轮胎联支部占12.07亿（20.7%），PDC板块占比相对较小，灯箱广告材料占9%左右。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问：资产减值损失和信用减值损失对净利润的影响？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答：这两项加起来同期减少了1000万利润，对净利润整体增长影响不大。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问：越南基地的利润增长情况如何？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答：越南公司今年实现了2.04亿的利润，较去年增长1.04亿，是公司增长的绝对额。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问：贝纳利的供应商认证是在国内还是越南基地做的？以及认证后可能带来的订单增长和收入情况？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答：贝纳利的供应商认证是在越南基地完成的，成为其合格的批量供货供应商，尤其是高性能轮胎用的一些高规格原子布。虽然放量不会特别快，但会很稳固，对公司未来收入将产生积极影响。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问：目前该客户订单率的供应商主要是谁？我们是否替代了它的存量供应商，并且会导入到新的品类中？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答：目前了解到的情况是，我们公司在逐步取代原来的供应商，并且被导入到客户的新的品类中，主要是因为在这个品类中我们有更多的合作机会。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问：今年以来，无论是国内基地还是越南基地，从苏通到浦东斯以及廉石的价差、销量、订单和库存情况如何？如何应对当前市场变化？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面临的主要风险是原材料价格上涨，这导致中下游产业利润受到挤压。我们正在持续跟踪价格，特别是由于战争导致的原油价格大幅上涨，影响了各种大宗原材料如PCT、PC等的价格。国家政策层面也在引导各行业涨价以形成智能运行的同盟，而健康的价格传导对我们来说是有优势的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问：车用产品的价格和毛利率表现如何？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车用产品全年价格相对平滑，因为它采用季度定价机制，即使原材料成本上升，产品价格也不会立即调整，而是在下一个季度沿用上一季度的成本，当成本下降时，利润才会释放出来。因此，车用产品的毛利率基本保持稳定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问：库存管理策略是怎样的？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答：在当前消费价格和原材料价格较高的情况下，我们正在加快之前涨价部分的库存消耗，同时控制整体库存量，以避免因材料价格波动导致库存贬值甚至亏本的风险。我们注重保持经销渠道的良好流动性。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问：国内外经济差异，尤其是越南经济的产品售价、价差以及后续变化趋势是怎样的？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越南经济在产品售价和价差方面与国内存在差异，越南由于关税优势，尤其是对欧美市场，其毛利率水平较高。而国内也在开发新的品种以提升产品竞争力和差异化率，不同基地根据市场需求和资源状况采取不同的产品策略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问：年初我们公司产业研究院的定位和进展如何？新材料板块中，公司重点发展什么方向？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年初我们介绍了公司的第二成长曲线战略布局，依托主业通过国内外协同生产获得现金流和利润。目前，第二主业聚焦高性能纤维及精细化学品领域，成立了海利德化学和海利德医疗机械两个子公司，并在海宁天山园区规划布局，主要用于生产邮寄精细化学品和LTP需求。在新材料方面，公司拥有一个金字塔型的产品结构，其中高频材料是重点方向。特别是LCT材料，因其在未来各种应用场景中具有逐步爆发的可能性，成为公司当前的主要研发重心。LDC从聚合开始生产，并在化学尖山厂区进行开发，下游涉及LDP膜和LDP纤维的生产和销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问：LTP纤维目前的订单和产能情况如何？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LTP纤维已有吨级订单，客户包括欧洲和中国的企业，预计今年能销售约30吨。公司现有产能在一两百吨级别，主要依托LCDL生产线进行小批量生产，下半年有望实现更大规模突破。同时，化学工厂规划了两期共6000吨的产能，现处于公斤级样品阶段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问：PPS和邮寄业务的发展情况怎样？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PPS业务主要做机器干丝和超级干丝产品，目前处于百公斤级销售阶段，应用于反应流电池类和模拟测试场景。而邮寄业务则在海宁化学公司工厂场地内大批量孵化，马桥厂区以内部使用为主，但已开始向国内客户送样试用，未来基地建成后可能有大批量供应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问：医疗科技子公司的发展规划如何？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医疗科技子公司作为公司未来的第三条成长曲线，目前专注于医用纤维的研发和生产，并逐步向生命科学领域拓展。已经建立了生物平台，涉及油脂类项目和精细化学品的研发，并计划获得医疗器械相关认证。医用纤维产品线已取得初步进展，并在医疗器械公司中进行孵化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问：越南帘子布项目预计投产时间及客户认证情况？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越南帘子布项目第一条生产线预计在今年第三到第四季度投产，主攻市场为美国。在产能落地前已与重要客户沟通信息，客户会按计划到越南工厂验厂。客户认证过程是必要的，虽然时间不会比初始认证长，但对于头部客户如倍耐力、米其林和林东等，认证周期通常需要半年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问：塑料材料盈利修复的原因是什么？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答：橡胶和塑料制品业毛利率同比提升6.23%，主要原因是原材料价格下降，例如PET价格的下降带动了塑胶行业产品价格高位运行，但下游企业未能及时传导成本下降，导致利润修复。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问：在2025年，公司对毛利率的重视程度如何提升？采取了哪些措施？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在2025年，公司对毛利率的控制更加严格，每个月都会在会议上强调并淘汰部分低毛利产品。公司层面加大了对毛利率管理的力度，不仅限于塑胶行业，而是整个公司的毛利率都有所提升。此外，公司内部也在积极进行毛利率控制的工作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问：光伏反射膜目前的订单转化情况如何？2026年的营收贡献预期是多少？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光伏反射膜业务方面，由于中东地区战争的影响，原本预计在今年年初开始的大量下单计划被推迟或取消，导致今年的营收贡献不如预期。尽管如此，根据陈总制定的经营预算，光伏反射膜今年仍有大几千万甚至一亿的订单预期落地。目前市场上对该产品的接受度逐渐提高，客户群体认可其耐候性和发电增益效果，但整个光伏产业复苏阶段，该产品属于增本增效的后继发力项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问：可持续纤维商业化进展如何？PS6PLA等可持续纤维样品订单客户群体主要有哪些？后续放量和销售规划是什么？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可持续纤维商业化方面，PS6主要应用于医用领域和与协材相关的合作项目中，例如安踏、李宁等品牌。对于未来放量和销售规划，虽然无具体数据，但考虑到产品在客户群体中的认可度以及市场接受度的提升，预计会有一个逐步放量的过程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问：未来几年分红计划是怎样的？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答：根据历史数据，每年的分红比例大约在50%左右。鉴于公司整体经营稳健，预计未来利润情况也不会太差，分红比例将长期维持在50%上下水平。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问：高端纺丝邮寄外售比例预计多少？化纤邮寄项目预计何时投产？毛利率水平如何？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高端纺丝主要用于海外大品牌的产品，目前尚未大规模对外销售，受制于产能和产品性能优化。化纤邮寄项目方面，今年整体外购比例较小，但随着产能逐渐提升，将会主动放大供货节奏。化学类项目预计在2028年下半年投产，毛利率目标为高端经济化学品的水平，希望达到20%甚至更高，但实际经营情况和成本控制效果有待观察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问：化纤油剂项目预计何时投产？毛利率水平如何？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答：化纤油剂项目预计在2028年下半年投产，毛利率水平目前无法确定，但公司将努力实现毛利率不低于20%的目标。同时提到了另一个化工项目，预计同样在2028年投产，其毛利率目标为20%以上。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问：PPS负极及干丝进入氢能隔膜领域，客户验证周期多长？市场空间有多大？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，该类产品在液流电池中的应用销售较少，但随着能源结构多元化及新能源产业的发展，包括固液态电池、锂电池产业链的成熟，以及化工与新能源结合，该类产品在未来储能和制氢领域有望发挥重要作用。对于客户验证周期和市场空间的具体数值，未给出明确数据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问：LCP产品的价格、盈利能力以及大概情况如何？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答：目前LCP纤维产品销售较多，膜类产品还是小批量公斤级供货，但已达到吨级。LCP纤维的价格在15到30万每吨，而LCP膜的应用于高端仪表，价格较高。关于LCP产品的具体价格和盈利能力，没有给出明确数值。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问：产业基金最新的投资进展和投资项目的情况？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产业基金自2023年开始进入投资，最初围绕产业链布局，投资潜在客户。现在投资范围更广，规范化投资逻辑，并针对新兴赛道如智能商业航天、量子计算等进行投资。基金规模已从2亿扩大至5亿，主要投资于新材料赛道的头部企业，并计划通过投资链接到产业链，了解客户需求与痛点，进行材料研发和布局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问：在智能机器人材料应用方面，公司有何布局策略？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公司在提升智能机器人材料应用方面存在痛点，因此会针对性地布局专利，结合自身体系和团队搭建，进行逆向开发以满足客户需求。例如，在机器人关节或高端手部传感器材料等方面，公司将投入时间进行深入研究和布局，以实现更高端应用场景下的机器人功能提升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  <w:p>
      <w:pPr>
        <w:pStyle w:val="ab"/>
      </w:pPr>
      <w:r>
        <w:t>发言人1 问：对于商业航天项目的进展，能否做简单披露？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>发言人1 答：目前商业航天项目中，有几个重要标的正在排队申请科创板第五套或在香港上市，虽未拿到确切额度，但市场状况在变化。公司将继续关注并期待在新材料领域取得更好的成绩。</w:t>
      </w:r>
    </w:p>
    <w:p>
      <w:r>
        <w:rPr>
          <w:rFonts w:ascii="等线(中文正文)" w:hAnsi="等线(中文正文)" w:cs="等线(中文正文)" w:eastAsia="等线(中文正文)"/>
          <w:b w:val="false"/>
          <w:i w:val="false"/>
          <w:sz w:val="20"/>
        </w:rPr>
        <w:t/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0">
    <w:lvl w:ilvl="0">
      <w:start w:val="1"/>
      <w:numFmt w:val="bullet"/>
      <w:lvlText w:val="l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139B0"/>
    <w:pPr>
      <w:widowControl w:val="0"/>
      <w:spacing w:line="360" w:lineRule="auto"/>
      <w:jc w:val="both"/>
    </w:pPr>
    <w:rPr>
      <w:color w:val="404040" w:themeColor="text1" w:themeTint="BF"/>
    </w:rPr>
  </w:style>
  <w:style w:type="paragraph" w:styleId="2">
    <w:name w:val="heading 2"/>
    <w:basedOn w:val="a0"/>
    <w:next w:val="a0"/>
    <w:link w:val="21"/>
    <w:uiPriority w:val="9"/>
    <w:unhideWhenUsed/>
    <w:qFormat/>
    <w:rsid w:val="006267B3"/>
    <w:pPr>
      <w:keepNext/>
      <w:keepLines/>
      <w:spacing w:before="260" w:after="260" w:line="416" w:lineRule="auto"/>
      <w:jc w:val="left"/>
      <w:outlineLvl w:val="1"/>
    </w:pPr>
    <w:rPr>
      <w:rFonts w:asciiTheme="majorHAnsi" w:hAnsiTheme="majorHAnsi" w:cstheme="majorBidi"/>
      <w:bCs/>
      <w:color w:val="27264D"/>
      <w:sz w:val="30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link w:val="a5"/>
    <w:uiPriority w:val="10"/>
    <w:qFormat/>
    <w:rsid w:val="008E22A6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5">
    <w:name w:val="标题 字符"/>
    <w:basedOn w:val="a1"/>
    <w:link w:val="a4"/>
    <w:uiPriority w:val="10"/>
    <w:rsid w:val="008E22A6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"/>
    <w:basedOn w:val="a1"/>
    <w:link w:val="2"/>
    <w:uiPriority w:val="9"/>
    <w:rsid w:val="006267B3"/>
    <w:rPr>
      <w:rFonts w:asciiTheme="majorHAnsi" w:eastAsia="微软雅黑" w:hAnsiTheme="majorHAnsi" w:cstheme="majorBidi"/>
      <w:bCs/>
      <w:color w:val="27264D"/>
      <w:sz w:val="30"/>
      <w:szCs w:val="32"/>
    </w:rPr>
  </w:style>
  <w:style w:type="character" w:styleId="a6">
    <w:name w:val="Strong"/>
    <w:basedOn w:val="a1"/>
    <w:uiPriority w:val="22"/>
    <w:qFormat/>
    <w:rsid w:val="006267B3"/>
    <w:rPr>
      <w:rFonts w:eastAsia="微软雅黑"/>
      <w:b/>
      <w:bCs/>
      <w:i w:val="0"/>
      <w:color w:val="27264D"/>
    </w:rPr>
  </w:style>
  <w:style w:type="paragraph" w:customStyle="1" w:styleId="a7">
    <w:name w:val="一级标题"/>
    <w:basedOn w:val="a8"/>
    <w:autoRedefine/>
    <w:qFormat/>
    <w:rsid w:val="00511359"/>
    <w:pPr>
      <w:jc w:val="left"/>
    </w:pPr>
    <w:rPr>
      <w:bCs w:val="0"/>
      <w:color w:val="000000" w:themeColor="text1"/>
      <w:sz w:val="30"/>
    </w:rPr>
  </w:style>
  <w:style w:type="paragraph" w:styleId="a8">
    <w:name w:val="Subtitle"/>
    <w:basedOn w:val="a0"/>
    <w:next w:val="a0"/>
    <w:link w:val="a9"/>
    <w:uiPriority w:val="11"/>
    <w:qFormat/>
    <w:rsid w:val="006267B3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9">
    <w:name w:val="副标题 字符"/>
    <w:basedOn w:val="a1"/>
    <w:link w:val="a8"/>
    <w:uiPriority w:val="11"/>
    <w:rsid w:val="006267B3"/>
    <w:rPr>
      <w:b/>
      <w:bCs/>
      <w:color w:val="474667"/>
      <w:kern w:val="28"/>
      <w:sz w:val="32"/>
      <w:szCs w:val="32"/>
    </w:rPr>
  </w:style>
  <w:style w:type="paragraph" w:customStyle="1" w:styleId="aa">
    <w:name w:val="标签"/>
    <w:basedOn w:val="ab"/>
    <w:qFormat/>
    <w:rsid w:val="00865510"/>
    <w:rPr>
      <w:szCs w:val="21"/>
    </w:rPr>
  </w:style>
  <w:style w:type="paragraph" w:customStyle="1" w:styleId="a">
    <w:name w:val="时间戳+章节"/>
    <w:basedOn w:val="a0"/>
    <w:qFormat/>
    <w:rsid w:val="00D86193"/>
    <w:pPr>
      <w:numPr>
        <w:numId w:val="17"/>
      </w:numPr>
    </w:pPr>
  </w:style>
  <w:style w:type="paragraph" w:customStyle="1" w:styleId="ac">
    <w:name w:val="大标题"/>
    <w:basedOn w:val="a4"/>
    <w:autoRedefine/>
    <w:qFormat/>
    <w:rsid w:val="00511359"/>
    <w:rPr>
      <w:rFonts w:asciiTheme="minorHAnsi" w:eastAsiaTheme="minorEastAsia" w:hAnsiTheme="minorHAnsi"/>
      <w:color w:val="000000" w:themeColor="text1"/>
      <w:sz w:val="36"/>
      <w:szCs w:val="36"/>
    </w:rPr>
  </w:style>
  <w:style w:type="paragraph" w:customStyle="1" w:styleId="ab">
    <w:name w:val="二级正文"/>
    <w:basedOn w:val="a0"/>
    <w:qFormat/>
    <w:rsid w:val="00F069C6"/>
    <w:rPr>
      <w:b/>
    </w:rPr>
  </w:style>
  <w:style w:type="numbering" w:customStyle="1" w:styleId="1">
    <w:name w:val="当前列表1"/>
    <w:uiPriority w:val="99"/>
    <w:rsid w:val="00C07DA3"/>
  </w:style>
  <w:style w:type="numbering" w:customStyle="1" w:styleId="22">
    <w:name w:val="当前列表2"/>
    <w:uiPriority w:val="99"/>
    <w:rsid w:val="00C07DA3"/>
  </w:style>
  <w:style w:type="numbering" w:customStyle="1" w:styleId="3">
    <w:name w:val="当前列表3"/>
    <w:uiPriority w:val="99"/>
    <w:rsid w:val="00C07DA3"/>
  </w:style>
  <w:style w:type="numbering" w:customStyle="1" w:styleId="4">
    <w:name w:val="当前列表4"/>
    <w:uiPriority w:val="99"/>
    <w:rsid w:val="00C07DA3"/>
  </w:style>
  <w:style w:type="numbering" w:customStyle="1" w:styleId="5">
    <w:name w:val="当前列表5"/>
    <w:uiPriority w:val="99"/>
    <w:rsid w:val="00C07DA3"/>
  </w:style>
  <w:style w:type="numbering" w:customStyle="1" w:styleId="6">
    <w:name w:val="当前列表6"/>
    <w:uiPriority w:val="99"/>
    <w:rsid w:val="00C07DA3"/>
  </w:style>
  <w:style w:type="numbering" w:customStyle="1" w:styleId="7">
    <w:name w:val="当前列表7"/>
    <w:uiPriority w:val="99"/>
    <w:rsid w:val="00C07DA3"/>
  </w:style>
  <w:style w:type="numbering" w:customStyle="1" w:styleId="8">
    <w:name w:val="当前列表8"/>
    <w:uiPriority w:val="99"/>
    <w:rsid w:val="00933C9B"/>
  </w:style>
  <w:style w:type="numbering" w:customStyle="1" w:styleId="9">
    <w:name w:val="当前列表9"/>
    <w:uiPriority w:val="99"/>
    <w:rsid w:val="00933C9B"/>
  </w:style>
  <w:style w:type="numbering" w:customStyle="1" w:styleId="10">
    <w:name w:val="当前列表10"/>
    <w:uiPriority w:val="99"/>
    <w:rsid w:val="00933C9B"/>
  </w:style>
  <w:style w:type="numbering" w:customStyle="1" w:styleId="11">
    <w:name w:val="当前列表11"/>
    <w:uiPriority w:val="99"/>
    <w:rsid w:val="00933C9B"/>
  </w:style>
  <w:style w:type="numbering" w:customStyle="1" w:styleId="12">
    <w:name w:val="当前列表12"/>
    <w:uiPriority w:val="99"/>
    <w:rsid w:val="00933C9B"/>
  </w:style>
  <w:style w:type="numbering" w:customStyle="1" w:styleId="13">
    <w:name w:val="当前列表13"/>
    <w:uiPriority w:val="99"/>
    <w:rsid w:val="00774E72"/>
  </w:style>
  <w:style w:type="numbering" w:customStyle="1" w:styleId="14">
    <w:name w:val="当前列表14"/>
    <w:uiPriority w:val="99"/>
    <w:rsid w:val="00774E72"/>
  </w:style>
  <w:style w:type="numbering" w:customStyle="1" w:styleId="15">
    <w:name w:val="当前列表15"/>
    <w:uiPriority w:val="99"/>
    <w:rsid w:val="00774E72"/>
  </w:style>
  <w:style w:type="numbering" w:customStyle="1" w:styleId="16">
    <w:name w:val="当前列表16"/>
    <w:uiPriority w:val="99"/>
    <w:rsid w:val="00774E72"/>
  </w:style>
  <w:style w:type="numbering" w:customStyle="1" w:styleId="17">
    <w:name w:val="当前列表17"/>
    <w:uiPriority w:val="99"/>
    <w:rsid w:val="00774E72"/>
  </w:style>
  <w:style w:type="numbering" w:customStyle="1" w:styleId="18">
    <w:name w:val="当前列表18"/>
    <w:uiPriority w:val="99"/>
    <w:rsid w:val="00774E72"/>
  </w:style>
  <w:style w:type="numbering" w:customStyle="1" w:styleId="19">
    <w:name w:val="当前列表19"/>
    <w:uiPriority w:val="99"/>
    <w:rsid w:val="00774E72"/>
  </w:style>
  <w:style w:type="numbering" w:customStyle="1" w:styleId="20">
    <w:name w:val="当前列表20"/>
    <w:uiPriority w:val="99"/>
    <w:rsid w:val="00865510"/>
    <w:pPr>
      <w:numPr>
        <w:numId w:val="44"/>
      </w:numPr>
    </w:pPr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numbering.xml" Type="http://schemas.openxmlformats.org/officeDocument/2006/relationships/numbering"/><Relationship Id="rId3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2026-04-25T03:40:41Z</dcterms:created>
  <dc:creator>Apache POI</dc:creator>
</cp:coreProperties>
</file>