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华源北交所  全景洞察财报系列：远航精密 - 精密镍基导体材料“小巨人”，关注固态电池技术革新最新应用 260424_导读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镍带箔 精密结构件 TCO 毛利率 加工费 库存 销量 政府补助 股权激励 FPCA 新能源汽车 消费电池 氢能 航天航空 金属纪念币 募投项目 铜价 冲压件 软连接 消费电子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举行的远航精密的财报会议中，公司管理层与华源北交所团队共同探讨了财务状况、业务发展及未来规划。会议首先强调了内容的重要性及保密性，提醒与会者对讨论内容的使用限制。重点分析了2025年及2026年的财务数据，指出营业收入与净利润的增长趋势，以及镍带箔和精密结构件等产品线的销售表现。特别提到了公司在氢能、固态电池领域的技术创新与市场应用，同时评估了原材料价格波动、政府补助及股权激励对公司业绩的综合影响。此外，会议还涉及了新项目进展，包括募投项目的投产计划与研发投入的增加。最后，管理层总结了公司的增长点、市场机遇及对团队的期望，表达了对远航精密未来发展的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远航精密2025年报回顾与业务展望</w:t>
      </w:r>
    </w:p>
    <w:p>
      <w:r>
        <w:rPr>
          <w:rFonts w:ascii="等线(中文正文)" w:hAnsi="等线(中文正文)" w:cs="等线(中文正文)" w:eastAsia="等线(中文正文)"/>
          <w:b w:val="false"/>
          <w:i w:val="false"/>
          <w:sz w:val="20"/>
        </w:rPr>
        <w:t>会议由华源证券分析师主持，邀请远航精密董秘及财务总监参加，共同回顾公司2025年报，讨论存量与增量业务，并开放投资者问答环节。会议强调保密规定，禁止泄露会议内容，确保信息仅限内部参考。</w:t>
      </w:r>
    </w:p>
    <w:p>
      <w:r>
        <w:rPr>
          <w:rFonts w:ascii="等线(中文正文)" w:hAnsi="等线(中文正文)" w:cs="等线(中文正文)" w:eastAsia="等线(中文正文)"/>
          <w:b w:val="false"/>
          <w:i w:val="false"/>
          <w:sz w:val="20"/>
        </w:rPr>
        <w:t/>
      </w:r>
    </w:p>
    <w:p>
      <w:pPr>
        <w:pStyle w:val="ab"/>
        <w:numPr>
          <w:numId w:val="2"/>
        </w:numPr>
      </w:pPr>
      <w:r>
        <w:t>03:01 远航精密业绩汇报与未来规划</w:t>
      </w:r>
    </w:p>
    <w:p>
      <w:r>
        <w:rPr>
          <w:rFonts w:ascii="等线(中文正文)" w:hAnsi="等线(中文正文)" w:cs="等线(中文正文)" w:eastAsia="等线(中文正文)"/>
          <w:b w:val="false"/>
          <w:i w:val="false"/>
          <w:sz w:val="20"/>
        </w:rPr>
        <w:t>介绍了远航精密公司的发展历程、主营业务、产品应用领域及财务表现。2025年公司营收增长22.38%，归母净利润为5348万，但增速未达营收增速，主要受政府补助减少、股权激励支出增加、FPCA业务亏损及原材料价格波动影响。2026年一季度营收增长29.19%，归母净利润增长11.35%。公司正推进募投项目，包括精密结构件和镍带箔项目，预计下半年可部分投产。</w:t>
      </w:r>
    </w:p>
    <w:p>
      <w:r>
        <w:rPr>
          <w:rFonts w:ascii="等线(中文正文)" w:hAnsi="等线(中文正文)" w:cs="等线(中文正文)" w:eastAsia="等线(中文正文)"/>
          <w:b w:val="false"/>
          <w:i w:val="false"/>
          <w:sz w:val="20"/>
        </w:rPr>
        <w:t/>
      </w:r>
    </w:p>
    <w:p>
      <w:pPr>
        <w:pStyle w:val="ab"/>
        <w:numPr>
          <w:numId w:val="3"/>
        </w:numPr>
      </w:pPr>
      <w:r>
        <w:t>10:07 2025年镍带箔销量单价与加工费变化及库存影响</w:t>
      </w:r>
    </w:p>
    <w:p>
      <w:r>
        <w:rPr>
          <w:rFonts w:ascii="等线(中文正文)" w:hAnsi="等线(中文正文)" w:cs="等线(中文正文)" w:eastAsia="等线(中文正文)"/>
          <w:b w:val="false"/>
          <w:i w:val="false"/>
          <w:sz w:val="20"/>
        </w:rPr>
        <w:t>讨论了2025年镍带箔销量与单价的变动，以及加工费水平的变化趋势，指出加工费基本持平略降。分析了库存对利润的影响机制，解释了镍价波动如何通过库存成本影响毛利率。提及库存消化周期约一个半月，以及一季度毛利率回升与库存消化的关系，强调高价库存消化对利润的正面影响。</w:t>
      </w:r>
    </w:p>
    <w:p>
      <w:r>
        <w:rPr>
          <w:rFonts w:ascii="等线(中文正文)" w:hAnsi="等线(中文正文)" w:cs="等线(中文正文)" w:eastAsia="等线(中文正文)"/>
          <w:b w:val="false"/>
          <w:i w:val="false"/>
          <w:sz w:val="20"/>
        </w:rPr>
        <w:t/>
      </w:r>
    </w:p>
    <w:p>
      <w:pPr>
        <w:pStyle w:val="ab"/>
        <w:numPr>
          <w:numId w:val="4"/>
        </w:numPr>
      </w:pPr>
      <w:r>
        <w:t>14:51 镍价波动与公司毛利率趋势分析</w:t>
      </w:r>
    </w:p>
    <w:p>
      <w:r>
        <w:rPr>
          <w:rFonts w:ascii="等线(中文正文)" w:hAnsi="等线(中文正文)" w:cs="等线(中文正文)" w:eastAsia="等线(中文正文)"/>
          <w:b w:val="false"/>
          <w:i w:val="false"/>
          <w:sz w:val="20"/>
        </w:rPr>
        <w:t>讨论了镍价对毛利率的影响，指出234季度毛利率趋势需结合镍价判断。镍价虽有上涨但波动小，保持在13至15万区间影响不大。价格稳定利于公司，忽上忽下则冲击利润。精密结构件因生产周期短，库存少，单价受铜价上涨影响，毛利率下降。</w:t>
      </w:r>
    </w:p>
    <w:p>
      <w:r>
        <w:rPr>
          <w:rFonts w:ascii="等线(中文正文)" w:hAnsi="等线(中文正文)" w:cs="等线(中文正文)" w:eastAsia="等线(中文正文)"/>
          <w:b w:val="false"/>
          <w:i w:val="false"/>
          <w:sz w:val="20"/>
        </w:rPr>
        <w:t/>
      </w:r>
    </w:p>
    <w:p>
      <w:pPr>
        <w:pStyle w:val="ab"/>
        <w:numPr>
          <w:numId w:val="5"/>
        </w:numPr>
      </w:pPr>
      <w:r>
        <w:t>18:42 精密结构件与TCO产品销售及毛利率分析</w:t>
      </w:r>
    </w:p>
    <w:p>
      <w:r>
        <w:rPr>
          <w:rFonts w:ascii="等线(中文正文)" w:hAnsi="等线(中文正文)" w:cs="等线(中文正文)" w:eastAsia="等线(中文正文)"/>
          <w:b w:val="false"/>
          <w:i w:val="false"/>
          <w:sz w:val="20"/>
        </w:rPr>
        <w:t>讨论了精密结构件中TCO、冲压件和软连接的销售额占比，以及TCO在25年毛利率的下滑和26年一季度的提升。TCO毛利率受铜价和汇率影响，一季度毛利率增长主要因规模效益和成本降低。</w:t>
      </w:r>
    </w:p>
    <w:p>
      <w:r>
        <w:rPr>
          <w:rFonts w:ascii="等线(中文正文)" w:hAnsi="等线(中文正文)" w:cs="等线(中文正文)" w:eastAsia="等线(中文正文)"/>
          <w:b w:val="false"/>
          <w:i w:val="false"/>
          <w:sz w:val="20"/>
        </w:rPr>
        <w:t/>
      </w:r>
    </w:p>
    <w:p>
      <w:pPr>
        <w:pStyle w:val="ab"/>
        <w:numPr>
          <w:numId w:val="6"/>
        </w:numPr>
      </w:pPr>
      <w:r>
        <w:t>23:08 消费电子行业增长与市场份额拓展分析</w:t>
      </w:r>
    </w:p>
    <w:p>
      <w:r>
        <w:rPr>
          <w:rFonts w:ascii="等线(中文正文)" w:hAnsi="等线(中文正文)" w:cs="等线(中文正文)" w:eastAsia="等线(中文正文)"/>
          <w:b w:val="false"/>
          <w:i w:val="false"/>
          <w:sz w:val="20"/>
        </w:rPr>
        <w:t>讨论了镍带箔产品在消费电子市场的收入占比，强调了电池出货量增加与客户供货占比提升对增长的贡献。分析了公司在主要客户中的市场份额，指出通过原材料和技术优势持续扩大份额的可能性，同时提及保持多家供应商格局的行业特性。</w:t>
      </w:r>
    </w:p>
    <w:p>
      <w:r>
        <w:rPr>
          <w:rFonts w:ascii="等线(中文正文)" w:hAnsi="等线(中文正文)" w:cs="等线(中文正文)" w:eastAsia="等线(中文正文)"/>
          <w:b w:val="false"/>
          <w:i w:val="false"/>
          <w:sz w:val="20"/>
        </w:rPr>
        <w:t/>
      </w:r>
    </w:p>
    <w:p>
      <w:pPr>
        <w:pStyle w:val="ab"/>
        <w:numPr>
          <w:numId w:val="7"/>
        </w:numPr>
      </w:pPr>
      <w:r>
        <w:t>28:13 金泰科精密合金冲压件产能与目标产值分析</w:t>
      </w:r>
    </w:p>
    <w:p>
      <w:r>
        <w:rPr>
          <w:rFonts w:ascii="等线(中文正文)" w:hAnsi="等线(中文正文)" w:cs="等线(中文正文)" w:eastAsia="等线(中文正文)"/>
          <w:b w:val="false"/>
          <w:i w:val="false"/>
          <w:sz w:val="20"/>
        </w:rPr>
        <w:t>金泰科的年产8.35亿片精密合金冲压件项目去年底投产，预计三年内销售额突破8亿，今年目标4.5至5亿，增长主要来自TCO和新产品尝试。此外，子公司阿凡达预计26年四季度投产。</w:t>
      </w:r>
    </w:p>
    <w:p>
      <w:r>
        <w:rPr>
          <w:rFonts w:ascii="等线(中文正文)" w:hAnsi="等线(中文正文)" w:cs="等线(中文正文)" w:eastAsia="等线(中文正文)"/>
          <w:b w:val="false"/>
          <w:i w:val="false"/>
          <w:sz w:val="20"/>
        </w:rPr>
        <w:t/>
      </w:r>
    </w:p>
    <w:p>
      <w:pPr>
        <w:pStyle w:val="ab"/>
        <w:numPr>
          <w:numId w:val="8"/>
        </w:numPr>
      </w:pPr>
      <w:r>
        <w:t>30:27 氢能业务增长与未来规划</w:t>
      </w:r>
    </w:p>
    <w:p>
      <w:r>
        <w:rPr>
          <w:rFonts w:ascii="等线(中文正文)" w:hAnsi="等线(中文正文)" w:cs="等线(中文正文)" w:eastAsia="等线(中文正文)"/>
          <w:b w:val="false"/>
          <w:i w:val="false"/>
          <w:sz w:val="20"/>
        </w:rPr>
        <w:t>对话围绕氢能业务的最新情况展开，包括与下游客户的认证合作、加工费标准以及未来几年的出货量和收入目标。2024年全年出货量预计20吨，2025年增长至120吨，2026年目标300吨，2027年1000吨。加工费约为4万元，2026年目标收入约1亿1000万元，增长趋势明显，旨在满足客户需求并推动氢能业务发展。</w:t>
      </w:r>
    </w:p>
    <w:p>
      <w:r>
        <w:rPr>
          <w:rFonts w:ascii="等线(中文正文)" w:hAnsi="等线(中文正文)" w:cs="等线(中文正文)" w:eastAsia="等线(中文正文)"/>
          <w:b w:val="false"/>
          <w:i w:val="false"/>
          <w:sz w:val="20"/>
        </w:rPr>
        <w:t/>
      </w:r>
    </w:p>
    <w:p>
      <w:pPr>
        <w:pStyle w:val="ab"/>
        <w:numPr>
          <w:numId w:val="9"/>
        </w:numPr>
      </w:pPr>
      <w:r>
        <w:t>32:56 氢能制造领域镍材料供应链解析</w:t>
      </w:r>
    </w:p>
    <w:p>
      <w:r>
        <w:rPr>
          <w:rFonts w:ascii="等线(中文正文)" w:hAnsi="等线(中文正文)" w:cs="等线(中文正文)" w:eastAsia="等线(中文正文)"/>
          <w:b w:val="false"/>
          <w:i w:val="false"/>
          <w:sz w:val="20"/>
        </w:rPr>
        <w:t>对话围绕氢能制造领域中镍材料的供应链合作展开，阐述了从原材料供应商到终端应用场景的产业链条。上游供应商提供镍板或镍带，中游客户加工成镍网或电解槽配件，最终服务于电解槽制造商及系统集成商。尽管技术路线保持稳定，但对终端应用的深入理解有助于把握市场趋势。</w:t>
      </w:r>
    </w:p>
    <w:p>
      <w:r>
        <w:rPr>
          <w:rFonts w:ascii="等线(中文正文)" w:hAnsi="等线(中文正文)" w:cs="等线(中文正文)" w:eastAsia="等线(中文正文)"/>
          <w:b w:val="false"/>
          <w:i w:val="false"/>
          <w:sz w:val="20"/>
        </w:rPr>
        <w:t/>
      </w:r>
    </w:p>
    <w:p>
      <w:pPr>
        <w:pStyle w:val="ab"/>
        <w:numPr>
          <w:numId w:val="10"/>
        </w:numPr>
      </w:pPr>
      <w:r>
        <w:t>36:04 FPC产品布局与未来目标收入探讨</w:t>
      </w:r>
    </w:p>
    <w:p>
      <w:r>
        <w:rPr>
          <w:rFonts w:ascii="等线(中文正文)" w:hAnsi="等线(中文正文)" w:cs="等线(中文正文)" w:eastAsia="等线(中文正文)"/>
          <w:b w:val="false"/>
          <w:i w:val="false"/>
          <w:sz w:val="20"/>
        </w:rPr>
        <w:t>对话围绕FPC产品在储能领域的应用展开，讨论了2026年的目标收入设定为5000万，达到3000万可实现盈亏平衡。黑悟空FPC业务一季度收入同比翻倍，预计达产后产值可达四五千万元。下游客户主要为果轩高科和维通力，未来可能新增客户。毛利率目标为15%左右，产能扩充主要依赖设备投入，速度较快。</w:t>
      </w:r>
    </w:p>
    <w:p>
      <w:r>
        <w:rPr>
          <w:rFonts w:ascii="等线(中文正文)" w:hAnsi="等线(中文正文)" w:cs="等线(中文正文)" w:eastAsia="等线(中文正文)"/>
          <w:b w:val="false"/>
          <w:i w:val="false"/>
          <w:sz w:val="20"/>
        </w:rPr>
        <w:t/>
      </w:r>
    </w:p>
    <w:p>
      <w:pPr>
        <w:pStyle w:val="ab"/>
        <w:numPr>
          <w:numId w:val="11"/>
        </w:numPr>
      </w:pPr>
      <w:r>
        <w:t>40:19 新能源汽车与固态电池研发进展</w:t>
      </w:r>
    </w:p>
    <w:p>
      <w:r>
        <w:rPr>
          <w:rFonts w:ascii="等线(中文正文)" w:hAnsi="等线(中文正文)" w:cs="等线(中文正文)" w:eastAsia="等线(中文正文)"/>
          <w:b w:val="false"/>
          <w:i w:val="false"/>
          <w:sz w:val="20"/>
        </w:rPr>
        <w:t>对话围绕新能源汽车领域的研发项目展开，特别关注移动储能车、动力电池模组及数据采集线技术。重点讨论了固态电池研发进度，包括与头部电池企业的送样合作，样品规格涉及厚度、宽度、长度及材料成分的多样化需求。目前，送样测试正进行中，有两家客户明确用于负极集流体，但量产需求尚不确定。</w:t>
      </w:r>
    </w:p>
    <w:p>
      <w:r>
        <w:rPr>
          <w:rFonts w:ascii="等线(中文正文)" w:hAnsi="等线(中文正文)" w:cs="等线(中文正文)" w:eastAsia="等线(中文正文)"/>
          <w:b w:val="false"/>
          <w:i w:val="false"/>
          <w:sz w:val="20"/>
        </w:rPr>
        <w:t/>
      </w:r>
    </w:p>
    <w:p>
      <w:pPr>
        <w:pStyle w:val="ab"/>
        <w:numPr>
          <w:numId w:val="12"/>
        </w:numPr>
      </w:pPr>
      <w:r>
        <w:t>44:10 商业航天与TCO产品销售分析</w:t>
      </w:r>
    </w:p>
    <w:p>
      <w:r>
        <w:rPr>
          <w:rFonts w:ascii="等线(中文正文)" w:hAnsi="等线(中文正文)" w:cs="等线(中文正文)" w:eastAsia="等线(中文正文)"/>
          <w:b w:val="false"/>
          <w:i w:val="false"/>
          <w:sz w:val="20"/>
        </w:rPr>
        <w:t>对话探讨了公司在商业航天领域的业务量及发展前景，指出直接客户为中国电子科技集团十八研究所，涉及镍带镍网等产品。新增客户李威能源集团的TCO产品销售达4000万，外销增长显著，主要增量源自某客户从内销转为深加工模式，产品结构仍以TCO为主。</w:t>
      </w:r>
    </w:p>
    <w:p>
      <w:r>
        <w:rPr>
          <w:rFonts w:ascii="等线(中文正文)" w:hAnsi="等线(中文正文)" w:cs="等线(中文正文)" w:eastAsia="等线(中文正文)"/>
          <w:b w:val="false"/>
          <w:i w:val="false"/>
          <w:sz w:val="20"/>
        </w:rPr>
        <w:t/>
      </w:r>
    </w:p>
    <w:p>
      <w:pPr>
        <w:pStyle w:val="ab"/>
        <w:numPr>
          <w:numId w:val="13"/>
        </w:numPr>
      </w:pPr>
      <w:r>
        <w:t>47:32 镍市场供需与氢能电解槽技术壁垒探讨</w:t>
      </w:r>
    </w:p>
    <w:p>
      <w:r>
        <w:rPr>
          <w:rFonts w:ascii="等线(中文正文)" w:hAnsi="等线(中文正文)" w:cs="等线(中文正文)" w:eastAsia="等线(中文正文)"/>
          <w:b w:val="false"/>
          <w:i w:val="false"/>
          <w:sz w:val="20"/>
        </w:rPr>
        <w:t>对话讨论了全球镍市场供需变化对公司影响，包括锁价与套期保值策略的实施效果，以及镍价波动对公司利润的影响。同时，探讨了氢能电解槽装机需求增长背景下，公司电极材料技术壁垒与价值量分析，以及与迤逦科技在电池领域的合作拓展。</w:t>
      </w:r>
    </w:p>
    <w:p>
      <w:r>
        <w:rPr>
          <w:rFonts w:ascii="等线(中文正文)" w:hAnsi="等线(中文正文)" w:cs="等线(中文正文)" w:eastAsia="等线(中文正文)"/>
          <w:b w:val="false"/>
          <w:i w:val="false"/>
          <w:sz w:val="20"/>
        </w:rPr>
        <w:t/>
      </w:r>
    </w:p>
    <w:p>
      <w:pPr>
        <w:pStyle w:val="ab"/>
        <w:numPr>
          <w:numId w:val="14"/>
        </w:numPr>
      </w:pPr>
      <w:r>
        <w:t>52:21 电池企业毛利率变化与未来业务规划</w:t>
      </w:r>
    </w:p>
    <w:p>
      <w:r>
        <w:rPr>
          <w:rFonts w:ascii="等线(中文正文)" w:hAnsi="等线(中文正文)" w:cs="等线(中文正文)" w:eastAsia="等线(中文正文)"/>
          <w:b w:val="false"/>
          <w:i w:val="false"/>
          <w:sz w:val="20"/>
        </w:rPr>
        <w:t>对话围绕电池企业的毛利率变化及未来业务规划展开，解释了毛利率下降的原因在于客供料比例减少导致销售额增长但毛利率下降，而毛利率回升则得益于规模效应和日元汇率下降带来的采购成本降低。企业未来将聚焦于与固态电池相关企业接触，拓展业务方向。</w:t>
      </w:r>
    </w:p>
    <w:p>
      <w:r>
        <w:rPr>
          <w:rFonts w:ascii="等线(中文正文)" w:hAnsi="等线(中文正文)" w:cs="等线(中文正文)" w:eastAsia="等线(中文正文)"/>
          <w:b w:val="false"/>
          <w:i w:val="false"/>
          <w:sz w:val="20"/>
        </w:rPr>
        <w:t/>
      </w:r>
    </w:p>
    <w:p>
      <w:pPr>
        <w:pStyle w:val="ab"/>
        <w:numPr>
          <w:numId w:val="15"/>
        </w:numPr>
      </w:pPr>
      <w:r>
        <w:t>56:12 2026年管理与研发费用展望及新兴赛道布局</w:t>
      </w:r>
    </w:p>
    <w:p>
      <w:r>
        <w:rPr>
          <w:rFonts w:ascii="等线(中文正文)" w:hAnsi="等线(中文正文)" w:cs="等线(中文正文)" w:eastAsia="等线(中文正文)"/>
          <w:b w:val="false"/>
          <w:i w:val="false"/>
          <w:sz w:val="20"/>
        </w:rPr>
        <w:t>讨论了2026年管理费用预计增加，主要源于阿凡达项目投产及折旧摊销费用，以及研发费用显著上升，涉及产品迭代和股份支付。股权激励目标设定为增长25%，并对氢能和新型电池等新兴领域表示信心。整体策略为稳中有增，期待新项目投入使用带来业绩惊喜。</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主持并介绍了华源北交所团队的全景洞察财报系列会议，主题为“远航精密精密镍基导体材料小巨人，关注固态电池技术革新最新应用”。会议着重讨论了远航精密的业务情况、财务表现、以及未来的发展方向和新兴赛道的布局。他提醒参会者关于会议内容的保密要求，强调华源证券将对任何泄露会议内容的行为保留追究法律责任的权利。
会议提到，远航精密2025年和2026年一季度的财务数据显示，营业收入和净利润显著增长。他详细介绍了远航精密的产品结构、市场应用领域、以及在新能源汽车、储能、氢能制造等行业的市场地位和前景。公司未来的战略重点包括进一步扩大在TCO和氢能领域的市场份额，以及加大对固态电池技术等新兴技术的研发投入。面对原材料价格波动、市场竞争加剧等风险和挑战，公司采取了锁价策略和套期保值操作等应对措施。
会议最后，他对远航精密2026年的展望和目标进行了总结，强调了公司对于新技术、新市场的信心，并表达了对公司未来业绩增长和市场地位提升的乐观预期。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问：我们希望价格如何变化以保证利润稳定？</w:t>
      </w:r>
    </w:p>
    <w:p>
      <w:r>
        <w:rPr>
          <w:rFonts w:ascii="等线(中文正文)" w:hAnsi="等线(中文正文)" w:cs="等线(中文正文)" w:eastAsia="等线(中文正文)"/>
          <w:b w:val="false"/>
          <w:i w:val="false"/>
          <w:sz w:val="20"/>
        </w:rPr>
        <w:t>发言人1 答：我们希望价格能够相对平稳，避免大幅波动，这样才能减少利润受到冲击的可能性。</w:t>
      </w:r>
    </w:p>
    <w:p>
      <w:r>
        <w:rPr>
          <w:rFonts w:ascii="等线(中文正文)" w:hAnsi="等线(中文正文)" w:cs="等线(中文正文)" w:eastAsia="等线(中文正文)"/>
          <w:b w:val="false"/>
          <w:i w:val="false"/>
          <w:sz w:val="20"/>
        </w:rPr>
        <w:t/>
      </w:r>
    </w:p>
    <w:p>
      <w:pPr>
        <w:pStyle w:val="ab"/>
      </w:pPr>
      <w:r>
        <w:t>发言人1 问：这个价格变化对我们的利润影响大吗？主要是毛利率受影响吗？</w:t>
      </w:r>
    </w:p>
    <w:p>
      <w:r>
        <w:rPr>
          <w:rFonts w:ascii="等线(中文正文)" w:hAnsi="等线(中文正文)" w:cs="等线(中文正文)" w:eastAsia="等线(中文正文)"/>
          <w:b w:val="false"/>
          <w:i w:val="false"/>
          <w:sz w:val="20"/>
        </w:rPr>
        <w:t>发言人1 答：是的，价格变化对我们的利润绝对值影响可能不大，但确实会对毛利率产生一些影响。由于我们是根据客户下单当天的网站能下单价（即面价加上加工费）来结算，对于业价涨跌，损失由客户承担。不过，我们有七八百吨库存，在财务核算时采用加权平均法，库存成本会随着市场价格波动而变化，影响正向或负向利润。</w:t>
      </w:r>
    </w:p>
    <w:p>
      <w:r>
        <w:rPr>
          <w:rFonts w:ascii="等线(中文正文)" w:hAnsi="等线(中文正文)" w:cs="等线(中文正文)" w:eastAsia="等线(中文正文)"/>
          <w:b w:val="false"/>
          <w:i w:val="false"/>
          <w:sz w:val="20"/>
        </w:rPr>
        <w:t/>
      </w:r>
    </w:p>
    <w:p>
      <w:pPr>
        <w:pStyle w:val="ab"/>
      </w:pPr>
      <w:r>
        <w:t>发言人1 问：我们库存消化周期大概是多久？</w:t>
      </w:r>
    </w:p>
    <w:p>
      <w:r>
        <w:rPr>
          <w:rFonts w:ascii="等线(中文正文)" w:hAnsi="等线(中文正文)" w:cs="等线(中文正文)" w:eastAsia="等线(中文正文)"/>
          <w:b w:val="false"/>
          <w:i w:val="false"/>
          <w:sz w:val="20"/>
        </w:rPr>
        <w:t>发言人1 答：我们的库存周转周期大概是1个半月，每月产销量约500吨，所以700吨库存相当于一个半月的量。</w:t>
      </w:r>
    </w:p>
    <w:p>
      <w:r>
        <w:rPr>
          <w:rFonts w:ascii="等线(中文正文)" w:hAnsi="等线(中文正文)" w:cs="等线(中文正文)" w:eastAsia="等线(中文正文)"/>
          <w:b w:val="false"/>
          <w:i w:val="false"/>
          <w:sz w:val="20"/>
        </w:rPr>
        <w:t/>
      </w:r>
    </w:p>
    <w:p>
      <w:pPr>
        <w:pStyle w:val="ab"/>
      </w:pPr>
      <w:r>
        <w:t>发言人1 问：一季报显示毛利率回升，是否意味着我们已经消化了高价库存？</w:t>
      </w:r>
    </w:p>
    <w:p>
      <w:r>
        <w:rPr>
          <w:rFonts w:ascii="等线(中文正文)" w:hAnsi="等线(中文正文)" w:cs="等线(中文正文)" w:eastAsia="等线(中文正文)"/>
          <w:b w:val="false"/>
          <w:i w:val="false"/>
          <w:sz w:val="20"/>
        </w:rPr>
        <w:t>发言人1 答：并非如此，一季度毛利率回升是因为在12月20几号镍价上涨时，我们有七八百吨低成本库存，随着市场价格上涨，这些低成本库存逐渐反映在加权平均成本上，带来正向利润。</w:t>
      </w:r>
    </w:p>
    <w:p>
      <w:r>
        <w:rPr>
          <w:rFonts w:ascii="等线(中文正文)" w:hAnsi="等线(中文正文)" w:cs="等线(中文正文)" w:eastAsia="等线(中文正文)"/>
          <w:b w:val="false"/>
          <w:i w:val="false"/>
          <w:sz w:val="20"/>
        </w:rPr>
        <w:t/>
      </w:r>
    </w:p>
    <w:p>
      <w:pPr>
        <w:pStyle w:val="ab"/>
      </w:pPr>
      <w:r>
        <w:t>发言人1 问：对于2023年四季度，我们毛利率会有何趋势？能否做出判断？</w:t>
      </w:r>
    </w:p>
    <w:p>
      <w:r>
        <w:rPr>
          <w:rFonts w:ascii="等线(中文正文)" w:hAnsi="等线(中文正文)" w:cs="等线(中文正文)" w:eastAsia="等线(中文正文)"/>
          <w:b w:val="false"/>
          <w:i w:val="false"/>
          <w:sz w:val="20"/>
        </w:rPr>
        <w:t>发言人1 答：毛利率的走势难以准确判断，主要取决于镍价走势。目前镍价在一个较小的区间内波动，如果保持在13到15万这样一个区间内，对毛利率的影响应该不会太大。</w:t>
      </w:r>
    </w:p>
    <w:p>
      <w:r>
        <w:rPr>
          <w:rFonts w:ascii="等线(中文正文)" w:hAnsi="等线(中文正文)" w:cs="等线(中文正文)" w:eastAsia="等线(中文正文)"/>
          <w:b w:val="false"/>
          <w:i w:val="false"/>
          <w:sz w:val="20"/>
        </w:rPr>
        <w:t/>
      </w:r>
    </w:p>
    <w:p>
      <w:pPr>
        <w:pStyle w:val="ab"/>
      </w:pPr>
      <w:r>
        <w:t>发言人1 问：价格稳定对我们有何影响？价格上涨与价格下降分别会带来什么效应？</w:t>
      </w:r>
    </w:p>
    <w:p>
      <w:r>
        <w:rPr>
          <w:rFonts w:ascii="等线(中文正文)" w:hAnsi="等线(中文正文)" w:cs="等线(中文正文)" w:eastAsia="等线(中文正文)"/>
          <w:b w:val="false"/>
          <w:i w:val="false"/>
          <w:sz w:val="20"/>
        </w:rPr>
        <w:t>发言人1 答：价格稳定对我们较为有利，价格忽上忽下会冲击利润。价格上涨时，低成本材料进来的利润会有所体现；但到达高点后价格下跌，会反过来产生负面影响。</w:t>
      </w:r>
    </w:p>
    <w:p>
      <w:r>
        <w:rPr>
          <w:rFonts w:ascii="等线(中文正文)" w:hAnsi="等线(中文正文)" w:cs="等线(中文正文)" w:eastAsia="等线(中文正文)"/>
          <w:b w:val="false"/>
          <w:i w:val="false"/>
          <w:sz w:val="20"/>
        </w:rPr>
        <w:t/>
      </w:r>
    </w:p>
    <w:p>
      <w:pPr>
        <w:pStyle w:val="ab"/>
      </w:pPr>
      <w:r>
        <w:t>发言人1 问：从精密结构件角度看，不同产品销售额差异性大吗？</w:t>
      </w:r>
    </w:p>
    <w:p>
      <w:r>
        <w:rPr>
          <w:rFonts w:ascii="等线(中文正文)" w:hAnsi="等线(中文正文)" w:cs="等线(中文正文)" w:eastAsia="等线(中文正文)"/>
          <w:b w:val="false"/>
          <w:i w:val="false"/>
          <w:sz w:val="20"/>
        </w:rPr>
        <w:t>发言人1 答：精密结构件领域产品单价差异较大，且生产周期短，一般不做大量库存。2025年由于铜价上涨，导致金泰科精密结构件的毛利率有所下降，与加工费模式不同的报价模式有关。</w:t>
      </w:r>
    </w:p>
    <w:p>
      <w:r>
        <w:rPr>
          <w:rFonts w:ascii="等线(中文正文)" w:hAnsi="等线(中文正文)" w:cs="等线(中文正文)" w:eastAsia="等线(中文正文)"/>
          <w:b w:val="false"/>
          <w:i w:val="false"/>
          <w:sz w:val="20"/>
        </w:rPr>
        <w:t/>
      </w:r>
    </w:p>
    <w:p>
      <w:pPr>
        <w:pStyle w:val="ab"/>
      </w:pPr>
      <w:r>
        <w:t>发言人1 问：TCO产品在2025年的毛利率与2024年相比有何变化？</w:t>
      </w:r>
    </w:p>
    <w:p>
      <w:r>
        <w:rPr>
          <w:rFonts w:ascii="等线(中文正文)" w:hAnsi="等线(中文正文)" w:cs="等线(中文正文)" w:eastAsia="等线(中文正文)"/>
          <w:b w:val="false"/>
          <w:i w:val="false"/>
          <w:sz w:val="20"/>
        </w:rPr>
        <w:t>发言人1 答：2025年TCO产品的毛利率为15.63%，相比2024年的18.3%有所下降。</w:t>
      </w:r>
    </w:p>
    <w:p>
      <w:r>
        <w:rPr>
          <w:rFonts w:ascii="等线(中文正文)" w:hAnsi="等线(中文正文)" w:cs="等线(中文正文)" w:eastAsia="等线(中文正文)"/>
          <w:b w:val="false"/>
          <w:i w:val="false"/>
          <w:sz w:val="20"/>
        </w:rPr>
        <w:t/>
      </w:r>
    </w:p>
    <w:p>
      <w:pPr>
        <w:pStyle w:val="ab"/>
      </w:pPr>
      <w:r>
        <w:t>发言人1 问：在26年一季度，精密结构件增长了40%，这个增长主要是TCO部分的增量吗？从一季度的订单交付情况看，TCO的毛利率相较于2022年是否有所变化？具体提升了多少？</w:t>
      </w:r>
    </w:p>
    <w:p>
      <w:r>
        <w:rPr>
          <w:rFonts w:ascii="等线(中文正文)" w:hAnsi="等线(中文正文)" w:cs="等线(中文正文)" w:eastAsia="等线(中文正文)"/>
          <w:b w:val="false"/>
          <w:i w:val="false"/>
          <w:sz w:val="20"/>
        </w:rPr>
        <w:t>发言人1 答：是的，这个增长主要是由TCO板块的增量引起的，尤其是TCO的三个产品都有所增加。是的，TCO的毛利率相比去年有显著提升，增长了19.22%，并且还提到了一个10%的增幅。</w:t>
      </w:r>
    </w:p>
    <w:p>
      <w:r>
        <w:rPr>
          <w:rFonts w:ascii="等线(中文正文)" w:hAnsi="等线(中文正文)" w:cs="等线(中文正文)" w:eastAsia="等线(中文正文)"/>
          <w:b w:val="false"/>
          <w:i w:val="false"/>
          <w:sz w:val="20"/>
        </w:rPr>
        <w:t/>
      </w:r>
    </w:p>
    <w:p>
      <w:pPr>
        <w:pStyle w:val="ab"/>
      </w:pPr>
      <w:r>
        <w:t>发言人1 问：TCO板块在公司内部收入增长的持续性如何？</w:t>
      </w:r>
    </w:p>
    <w:p>
      <w:r>
        <w:rPr>
          <w:rFonts w:ascii="等线(中文正文)" w:hAnsi="等线(中文正文)" w:cs="等线(中文正文)" w:eastAsia="等线(中文正文)"/>
          <w:b w:val="false"/>
          <w:i w:val="false"/>
          <w:sz w:val="20"/>
        </w:rPr>
        <w:t>发言人1 答：从一季度的情况来看，TCO收入的增长基本保持持续，但未来是否持续还需观察后续情况。</w:t>
      </w:r>
    </w:p>
    <w:p>
      <w:r>
        <w:rPr>
          <w:rFonts w:ascii="等线(中文正文)" w:hAnsi="等线(中文正文)" w:cs="等线(中文正文)" w:eastAsia="等线(中文正文)"/>
          <w:b w:val="false"/>
          <w:i w:val="false"/>
          <w:sz w:val="20"/>
        </w:rPr>
        <w:t/>
      </w:r>
    </w:p>
    <w:p>
      <w:pPr>
        <w:pStyle w:val="ab"/>
      </w:pPr>
      <w:r>
        <w:t>发言人1 问：TCO毛利率增长的主要原因是什么？25年TCO毛利率下滑的主要原因是什么？</w:t>
      </w:r>
    </w:p>
    <w:p>
      <w:r>
        <w:rPr>
          <w:rFonts w:ascii="等线(中文正文)" w:hAnsi="等线(中文正文)" w:cs="等线(中文正文)" w:eastAsia="等线(中文正文)"/>
          <w:b w:val="false"/>
          <w:i w:val="false"/>
          <w:sz w:val="20"/>
        </w:rPr>
        <w:t>发言人1 答：增长的主要原因有两个方面：一是规模效益的影响，随着产量增加，制造费用等成本被摊薄；二是所使用的电子芯片主要从日本进口，日元汇率下降导致材料成本下降。下滑可能受到了铜价波动的影响，因为芯片中含有的铜镍或铜片也可能对成本有所影响。</w:t>
      </w:r>
    </w:p>
    <w:p>
      <w:r>
        <w:rPr>
          <w:rFonts w:ascii="等线(中文正文)" w:hAnsi="等线(中文正文)" w:cs="等线(中文正文)" w:eastAsia="等线(中文正文)"/>
          <w:b w:val="false"/>
          <w:i w:val="false"/>
          <w:sz w:val="20"/>
        </w:rPr>
        <w:t/>
      </w:r>
    </w:p>
    <w:p>
      <w:pPr>
        <w:pStyle w:val="ab"/>
      </w:pPr>
      <w:r>
        <w:t>发言人1 问：镍带箔业务在25年的收入为6.7亿，其下游应用的市场占比情况如何？</w:t>
      </w:r>
    </w:p>
    <w:p>
      <w:r>
        <w:rPr>
          <w:rFonts w:ascii="等线(中文正文)" w:hAnsi="等线(中文正文)" w:cs="等线(中文正文)" w:eastAsia="等线(中文正文)"/>
          <w:b w:val="false"/>
          <w:i w:val="false"/>
          <w:sz w:val="20"/>
        </w:rPr>
        <w:t>发言人1 答：镍带箔业务下游应用的市场占比难以具体拆解，只知道部分用于消费电子领域，而更详细的细分市场如亲和力叶片和氢能所用叶片可以明显区分，但其他部分则难以猜测。</w:t>
      </w:r>
    </w:p>
    <w:p>
      <w:r>
        <w:rPr>
          <w:rFonts w:ascii="等线(中文正文)" w:hAnsi="等线(中文正文)" w:cs="等线(中文正文)" w:eastAsia="等线(中文正文)"/>
          <w:b w:val="false"/>
          <w:i w:val="false"/>
          <w:sz w:val="20"/>
        </w:rPr>
        <w:t/>
      </w:r>
    </w:p>
    <w:p>
      <w:pPr>
        <w:pStyle w:val="ab"/>
      </w:pPr>
      <w:r>
        <w:t>发言人1 问：25年精密结构件中TCO持续增长的动力来源是什么？</w:t>
      </w:r>
    </w:p>
    <w:p>
      <w:r>
        <w:rPr>
          <w:rFonts w:ascii="等线(中文正文)" w:hAnsi="等线(中文正文)" w:cs="等线(中文正文)" w:eastAsia="等线(中文正文)"/>
          <w:b w:val="false"/>
          <w:i w:val="false"/>
          <w:sz w:val="20"/>
        </w:rPr>
        <w:t>发言人1 答：TCO持续增长的动力主要来自电池出货量的整体增加，即整个行业的市场需求增大以及公司在一些客户供货占比的提升。</w:t>
      </w:r>
    </w:p>
    <w:p>
      <w:r>
        <w:rPr>
          <w:rFonts w:ascii="等线(中文正文)" w:hAnsi="等线(中文正文)" w:cs="等线(中文正文)" w:eastAsia="等线(中文正文)"/>
          <w:b w:val="false"/>
          <w:i w:val="false"/>
          <w:sz w:val="20"/>
        </w:rPr>
        <w:t/>
      </w:r>
    </w:p>
    <w:p>
      <w:pPr>
        <w:pStyle w:val="ab"/>
      </w:pPr>
      <w:r>
        <w:t>发言人1 问：TCO业务在联想等客户的市场份额情况如何？</w:t>
      </w:r>
    </w:p>
    <w:p>
      <w:r>
        <w:rPr>
          <w:rFonts w:ascii="等线(中文正文)" w:hAnsi="等线(中文正文)" w:cs="等线(中文正文)" w:eastAsia="等线(中文正文)"/>
          <w:b w:val="false"/>
          <w:i w:val="false"/>
          <w:sz w:val="20"/>
        </w:rPr>
        <w:t>发言人1 答：在联想的供货占比已经超过30%-40%，在戴尔的份额还不多，尚未向苹果供货。</w:t>
      </w:r>
    </w:p>
    <w:p>
      <w:r>
        <w:rPr>
          <w:rFonts w:ascii="等线(中文正文)" w:hAnsi="等线(中文正文)" w:cs="等线(中文正文)" w:eastAsia="等线(中文正文)"/>
          <w:b w:val="false"/>
          <w:i w:val="false"/>
          <w:sz w:val="20"/>
        </w:rPr>
        <w:t/>
      </w:r>
    </w:p>
    <w:p>
      <w:pPr>
        <w:pStyle w:val="ab"/>
      </w:pPr>
      <w:r>
        <w:t>发言人1 问：TCO业务的主要竞争对手有哪些？</w:t>
      </w:r>
    </w:p>
    <w:p>
      <w:r>
        <w:rPr>
          <w:rFonts w:ascii="等线(中文正文)" w:hAnsi="等线(中文正文)" w:cs="等线(中文正文)" w:eastAsia="等线(中文正文)"/>
          <w:b w:val="false"/>
          <w:i w:val="false"/>
          <w:sz w:val="20"/>
        </w:rPr>
        <w:t>发言人1 答：TCO业务没有太多直接竞争对手，大家各自处于不同的生态体系中，公司在主要客户中的供货占比提高会挤压部分竞对份额。</w:t>
      </w:r>
    </w:p>
    <w:p>
      <w:r>
        <w:rPr>
          <w:rFonts w:ascii="等线(中文正文)" w:hAnsi="等线(中文正文)" w:cs="等线(中文正文)" w:eastAsia="等线(中文正文)"/>
          <w:b w:val="false"/>
          <w:i w:val="false"/>
          <w:sz w:val="20"/>
        </w:rPr>
        <w:t/>
      </w:r>
    </w:p>
    <w:p>
      <w:pPr>
        <w:pStyle w:val="ab"/>
      </w:pPr>
      <w:r>
        <w:t>发言人1 问：年产8.35亿片精密合金冲压件的产能爬坡节奏及对应产值目标是多少？</w:t>
      </w:r>
    </w:p>
    <w:p>
      <w:r>
        <w:rPr>
          <w:rFonts w:ascii="等线(中文正文)" w:hAnsi="等线(中文正文)" w:cs="等线(中文正文)" w:eastAsia="等线(中文正文)"/>
          <w:b w:val="false"/>
          <w:i w:val="false"/>
          <w:sz w:val="20"/>
        </w:rPr>
        <w:t>发言人1 答：该产线计划在三年内实现整体精密结构件销售额突破8亿的目标，今年希望实现4.5到5亿的销售额增长，主要增长来源还是TCO，同时也会尝试新的产品。</w:t>
      </w:r>
    </w:p>
    <w:p>
      <w:r>
        <w:rPr>
          <w:rFonts w:ascii="等线(中文正文)" w:hAnsi="等线(中文正文)" w:cs="等线(中文正文)" w:eastAsia="等线(中文正文)"/>
          <w:b w:val="false"/>
          <w:i w:val="false"/>
          <w:sz w:val="20"/>
        </w:rPr>
        <w:t/>
      </w:r>
    </w:p>
    <w:p>
      <w:pPr>
        <w:pStyle w:val="ab"/>
      </w:pPr>
      <w:r>
        <w:t>发言人1 问：阿凡达子公司预计何时投产，其目标领域是什么？</w:t>
      </w:r>
    </w:p>
    <w:p>
      <w:r>
        <w:rPr>
          <w:rFonts w:ascii="等线(中文正文)" w:hAnsi="等线(中文正文)" w:cs="等线(中文正文)" w:eastAsia="等线(中文正文)"/>
          <w:b w:val="false"/>
          <w:i w:val="false"/>
          <w:sz w:val="20"/>
        </w:rPr>
        <w:t>发言人1 答：阿凡达子公司预计在26年四季度投产，主要目标领域是氢能领域。</w:t>
      </w:r>
    </w:p>
    <w:p>
      <w:r>
        <w:rPr>
          <w:rFonts w:ascii="等线(中文正文)" w:hAnsi="等线(中文正文)" w:cs="等线(中文正文)" w:eastAsia="等线(中文正文)"/>
          <w:b w:val="false"/>
          <w:i w:val="false"/>
          <w:sz w:val="20"/>
        </w:rPr>
        <w:t/>
      </w:r>
    </w:p>
    <w:p>
      <w:pPr>
        <w:pStyle w:val="ab"/>
      </w:pPr>
      <w:r>
        <w:t>发言人1 问：在氢能领域，去年你们的出货量是多少，今年的目标是什么？</w:t>
      </w:r>
    </w:p>
    <w:p>
      <w:r>
        <w:rPr>
          <w:rFonts w:ascii="等线(中文正文)" w:hAnsi="等线(中文正文)" w:cs="等线(中文正文)" w:eastAsia="等线(中文正文)"/>
          <w:b w:val="false"/>
          <w:i w:val="false"/>
          <w:sz w:val="20"/>
        </w:rPr>
        <w:t>发言人1 答：去年我们氢能的出货量约为120吨，而今年一季度（目前四月份）的出货量已经达到了70吨，超过了去年一半的业务量。全年目标是在氢能这一块达到三百多吨，到2027年目标是1000吨。</w:t>
      </w:r>
    </w:p>
    <w:p>
      <w:r>
        <w:rPr>
          <w:rFonts w:ascii="等线(中文正文)" w:hAnsi="等线(中文正文)" w:cs="等线(中文正文)" w:eastAsia="等线(中文正文)"/>
          <w:b w:val="false"/>
          <w:i w:val="false"/>
          <w:sz w:val="20"/>
        </w:rPr>
        <w:t/>
      </w:r>
    </w:p>
    <w:p>
      <w:pPr>
        <w:pStyle w:val="ab"/>
      </w:pPr>
      <w:r>
        <w:t>发言人1 问：氢能加工的费用大概是多少？</w:t>
      </w:r>
    </w:p>
    <w:p>
      <w:r>
        <w:rPr>
          <w:rFonts w:ascii="等线(中文正文)" w:hAnsi="等线(中文正文)" w:cs="等线(中文正文)" w:eastAsia="等线(中文正文)"/>
          <w:b w:val="false"/>
          <w:i w:val="false"/>
          <w:sz w:val="20"/>
        </w:rPr>
        <w:t>发言人1 答：氢能加工的费用大约是每吨4万左右。</w:t>
      </w:r>
    </w:p>
    <w:p>
      <w:r>
        <w:rPr>
          <w:rFonts w:ascii="等线(中文正文)" w:hAnsi="等线(中文正文)" w:cs="等线(中文正文)" w:eastAsia="等线(中文正文)"/>
          <w:b w:val="false"/>
          <w:i w:val="false"/>
          <w:sz w:val="20"/>
        </w:rPr>
        <w:t/>
      </w:r>
    </w:p>
    <w:p>
      <w:pPr>
        <w:pStyle w:val="ab"/>
      </w:pPr>
      <w:r>
        <w:t>发言人1 问：下游客户合作情况如何？主要供应什么产品？</w:t>
      </w:r>
    </w:p>
    <w:p>
      <w:r>
        <w:rPr>
          <w:rFonts w:ascii="等线(中文正文)" w:hAnsi="等线(中文正文)" w:cs="等线(中文正文)" w:eastAsia="等线(中文正文)"/>
          <w:b w:val="false"/>
          <w:i w:val="false"/>
          <w:sz w:val="20"/>
        </w:rPr>
        <w:t>发言人1 答：我们主要提供平整的镍板或镍带作为原材料给下游客户，他们拿到后会对镍带进一步加工成镍网，然后焊接制作成电解槽支撑板或电极。下游客户主要是生产拉网的企业和直接制作电解槽配件的企业。</w:t>
      </w:r>
    </w:p>
    <w:p>
      <w:r>
        <w:rPr>
          <w:rFonts w:ascii="等线(中文正文)" w:hAnsi="等线(中文正文)" w:cs="等线(中文正文)" w:eastAsia="等线(中文正文)"/>
          <w:b w:val="false"/>
          <w:i w:val="false"/>
          <w:sz w:val="20"/>
        </w:rPr>
        <w:t/>
      </w:r>
    </w:p>
    <w:p>
      <w:pPr>
        <w:pStyle w:val="ab"/>
      </w:pPr>
      <w:r>
        <w:t>发言人1 问：氢能业务的主要终端应用场景是什么？</w:t>
      </w:r>
    </w:p>
    <w:p>
      <w:r>
        <w:rPr>
          <w:rFonts w:ascii="等线(中文正文)" w:hAnsi="等线(中文正文)" w:cs="等线(中文正文)" w:eastAsia="等线(中文正文)"/>
          <w:b w:val="false"/>
          <w:i w:val="false"/>
          <w:sz w:val="20"/>
        </w:rPr>
        <w:t>发言人1 答：氢能业务的终端应用场景主要是氢能制造，而非氢燃料电池领域。</w:t>
      </w:r>
    </w:p>
    <w:p>
      <w:r>
        <w:rPr>
          <w:rFonts w:ascii="等线(中文正文)" w:hAnsi="等线(中文正文)" w:cs="等线(中文正文)" w:eastAsia="等线(中文正文)"/>
          <w:b w:val="false"/>
          <w:i w:val="false"/>
          <w:sz w:val="20"/>
        </w:rPr>
        <w:t/>
      </w:r>
    </w:p>
    <w:p>
      <w:pPr>
        <w:pStyle w:val="ab"/>
      </w:pPr>
      <w:r>
        <w:t>发言人1 问：目前在研项目有哪些新看点？</w:t>
      </w:r>
    </w:p>
    <w:p>
      <w:r>
        <w:rPr>
          <w:rFonts w:ascii="等线(中文正文)" w:hAnsi="等线(中文正文)" w:cs="等线(中文正文)" w:eastAsia="等线(中文正文)"/>
          <w:b w:val="false"/>
          <w:i w:val="false"/>
          <w:sz w:val="20"/>
        </w:rPr>
        <w:t>发言人1 答：在研项目包括移动储能车、新能源汽车动力电池的电池模组，以及新能源动力电池的数据采集线制备技术，其中数据采集线实际上对应的是FPC类产品。研发项目仍然围绕公司的产品主线，如氢能材料和FPC等。</w:t>
      </w:r>
    </w:p>
    <w:p>
      <w:r>
        <w:rPr>
          <w:rFonts w:ascii="等线(中文正文)" w:hAnsi="等线(中文正文)" w:cs="等线(中文正文)" w:eastAsia="等线(中文正文)"/>
          <w:b w:val="false"/>
          <w:i w:val="false"/>
          <w:sz w:val="20"/>
        </w:rPr>
        <w:t/>
      </w:r>
    </w:p>
    <w:p>
      <w:pPr>
        <w:pStyle w:val="ab"/>
      </w:pPr>
      <w:r>
        <w:t>发言人1 问：目前固态电池的研发进度和与客户的合作情况如何？</w:t>
      </w:r>
    </w:p>
    <w:p>
      <w:r>
        <w:rPr>
          <w:rFonts w:ascii="等线(中文正文)" w:hAnsi="等线(中文正文)" w:cs="等线(中文正文)" w:eastAsia="等线(中文正文)"/>
          <w:b w:val="false"/>
          <w:i w:val="false"/>
          <w:sz w:val="20"/>
        </w:rPr>
        <w:t>发言人1 答：我们目前在固态电池研发方面与4到5家头部电池企业进行合作，处于送样阶段。这些样品规格多样，厚度约为七八微米，宽度在10到30厘米不等，长度从100米到1000米不等。材料成分也有多样性，包括镍和铁各50%、镍80%和10%的组合，以及更高纯度的镍。从客户送样及测试反馈来看，已有两家客户确定使用我们的产品作为负极集流体，但是否会有量产需求还需进一步确定。</w:t>
      </w:r>
    </w:p>
    <w:p>
      <w:r>
        <w:rPr>
          <w:rFonts w:ascii="等线(中文正文)" w:hAnsi="等线(中文正文)" w:cs="等线(中文正文)" w:eastAsia="等线(中文正文)"/>
          <w:b w:val="false"/>
          <w:i w:val="false"/>
          <w:sz w:val="20"/>
        </w:rPr>
        <w:t/>
      </w:r>
    </w:p>
    <w:p>
      <w:pPr>
        <w:pStyle w:val="ab"/>
      </w:pPr>
      <w:r>
        <w:t>发言人1 问：公司商业航天领域的业务量和发展前景怎样？</w:t>
      </w:r>
    </w:p>
    <w:p>
      <w:r>
        <w:rPr>
          <w:rFonts w:ascii="等线(中文正文)" w:hAnsi="等线(中文正文)" w:cs="等线(中文正文)" w:eastAsia="等线(中文正文)"/>
          <w:b w:val="false"/>
          <w:i w:val="false"/>
          <w:sz w:val="20"/>
        </w:rPr>
        <w:t>发言人1 答：在商业航天领域，我们的主要客户是中国电子科技集团十八研究所（天津18所），他们使用我们的镍带和镍网产品，供应给终端客户。虽然我们不能透露太多关于商业航天的具体信息，但总体上，以镍带镍网为主的产品是我们该领域的关键供应内容。</w:t>
      </w:r>
    </w:p>
    <w:p>
      <w:r>
        <w:rPr>
          <w:rFonts w:ascii="等线(中文正文)" w:hAnsi="等线(中文正文)" w:cs="等线(中文正文)" w:eastAsia="等线(中文正文)"/>
          <w:b w:val="false"/>
          <w:i w:val="false"/>
          <w:sz w:val="20"/>
        </w:rPr>
        <w:t/>
      </w:r>
    </w:p>
    <w:p>
      <w:pPr>
        <w:pStyle w:val="ab"/>
      </w:pPr>
      <w:r>
        <w:t>发言人1 问：公司的主要增量客户有哪些？是否有涉及新客户的销售增长？</w:t>
      </w:r>
    </w:p>
    <w:p>
      <w:r>
        <w:rPr>
          <w:rFonts w:ascii="等线(中文正文)" w:hAnsi="等线(中文正文)" w:cs="等线(中文正文)" w:eastAsia="等线(中文正文)"/>
          <w:b w:val="false"/>
          <w:i w:val="false"/>
          <w:sz w:val="20"/>
        </w:rPr>
        <w:t>发言人1 答：公司在2025年的销售中，第二大客户（AABC）与之前披露的前两大客户存在一定的重合，但比例不多。主要增长点还是来自于TCO这块产品的供货，尤其是在前五大客户中保持相对稳定。此外，公司在2025年的外销业务也有显著增长，达到接近5000万的销售额，这主要是某一个客户从内销转为深加工模式的结果，并未新增海外区域或客户。</w:t>
      </w:r>
    </w:p>
    <w:p>
      <w:r>
        <w:rPr>
          <w:rFonts w:ascii="等线(中文正文)" w:hAnsi="等线(中文正文)" w:cs="等线(中文正文)" w:eastAsia="等线(中文正文)"/>
          <w:b w:val="false"/>
          <w:i w:val="false"/>
          <w:sz w:val="20"/>
        </w:rPr>
        <w:t/>
      </w:r>
    </w:p>
    <w:p>
      <w:pPr>
        <w:pStyle w:val="ab"/>
      </w:pPr>
      <w:r>
        <w:t>发言人1 问：面对2026年全球镍市场可能出现的供需缺口和镍价上行情况，公司在锁价和套期保值方面的措施是什么？</w:t>
      </w:r>
    </w:p>
    <w:p>
      <w:r>
        <w:rPr>
          <w:rFonts w:ascii="等线(中文正文)" w:hAnsi="等线(中文正文)" w:cs="等线(中文正文)" w:eastAsia="等线(中文正文)"/>
          <w:b w:val="false"/>
          <w:i w:val="false"/>
          <w:sz w:val="20"/>
        </w:rPr>
        <w:t>发言人1 答：锁价方面，公司在接到客户订单时会按照当天价格购买相应原材料进行锁价。然而，在套期保值操作上，由于期货价格与现货价格并不完全同步且变化趋势不易契合，效果不佳，因此已经暂停了该操作两年。镍价波动对公司整体利润的影响有限，除非出现较大价格变动区间，否则影响一般在千万级别。</w:t>
      </w:r>
    </w:p>
    <w:p>
      <w:r>
        <w:rPr>
          <w:rFonts w:ascii="等线(中文正文)" w:hAnsi="等线(中文正文)" w:cs="等线(中文正文)" w:eastAsia="等线(中文正文)"/>
          <w:b w:val="false"/>
          <w:i w:val="false"/>
          <w:sz w:val="20"/>
        </w:rPr>
        <w:t/>
      </w:r>
    </w:p>
    <w:p>
      <w:pPr>
        <w:pStyle w:val="ab"/>
      </w:pPr>
      <w:r>
        <w:t>发言人1 问：对于氢能电解槽装机需求增速可能带来的影响，公司在镍板或镍带的技术壁垒和单台价值量方面有何看法？</w:t>
      </w:r>
    </w:p>
    <w:p>
      <w:r>
        <w:rPr>
          <w:rFonts w:ascii="等线(中文正文)" w:hAnsi="等线(中文正文)" w:cs="等线(中文正文)" w:eastAsia="等线(中文正文)"/>
          <w:b w:val="false"/>
          <w:i w:val="false"/>
          <w:sz w:val="20"/>
        </w:rPr>
        <w:t>发言人1 答：公司认为，氢能电解槽对镍板或镍带的宽度要求较高，同时也需要优异的焊接性能。目前，公司拥有阿凡达项目的募投项目，计划新增2500吨产能，下半年有望投产，因此在产能方面没有太大的问题。至于单台价值量，公司正与客户沟通了解相关信息。</w:t>
      </w:r>
    </w:p>
    <w:p>
      <w:r>
        <w:rPr>
          <w:rFonts w:ascii="等线(中文正文)" w:hAnsi="等线(中文正文)" w:cs="等线(中文正文)" w:eastAsia="等线(中文正文)"/>
          <w:b w:val="false"/>
          <w:i w:val="false"/>
          <w:sz w:val="20"/>
        </w:rPr>
        <w:t/>
      </w:r>
    </w:p>
    <w:p>
      <w:pPr>
        <w:pStyle w:val="ab"/>
      </w:pPr>
      <w:r>
        <w:t>发言人1 问：我们与伊利科技的合作主要涉及哪些内容？</w:t>
      </w:r>
    </w:p>
    <w:p>
      <w:r>
        <w:rPr>
          <w:rFonts w:ascii="等线(中文正文)" w:hAnsi="等线(中文正文)" w:cs="等线(中文正文)" w:eastAsia="等线(中文正文)"/>
          <w:b w:val="false"/>
          <w:i w:val="false"/>
          <w:sz w:val="20"/>
        </w:rPr>
        <w:t>发言人1 答：我们与伊利科技的合作主要是基于他们在正极材料领域的优势，通过投资来拓宽公司在电池领域的业务边界。伊利科技是天华新能的控股股东，而天华新能又受到了宁德时代的投资。我们关注伊利科技在正极材料方面的技术，并尝试进入更多与电池相关的新兴领域。</w:t>
      </w:r>
    </w:p>
    <w:p>
      <w:r>
        <w:rPr>
          <w:rFonts w:ascii="等线(中文正文)" w:hAnsi="等线(中文正文)" w:cs="等线(中文正文)" w:eastAsia="等线(中文正文)"/>
          <w:b w:val="false"/>
          <w:i w:val="false"/>
          <w:sz w:val="20"/>
        </w:rPr>
        <w:t/>
      </w:r>
    </w:p>
    <w:p>
      <w:pPr>
        <w:pStyle w:val="ab"/>
      </w:pPr>
      <w:r>
        <w:t>发言人1 问：未来我们主要聚焦在哪个方向上拓宽业务边界？TCO25年的毛利率相较于24年为何下降？</w:t>
      </w:r>
    </w:p>
    <w:p>
      <w:r>
        <w:rPr>
          <w:rFonts w:ascii="等线(中文正文)" w:hAnsi="等线(中文正文)" w:cs="等线(中文正文)" w:eastAsia="等线(中文正文)"/>
          <w:b w:val="false"/>
          <w:i w:val="false"/>
          <w:sz w:val="20"/>
        </w:rPr>
        <w:t>发言人1 答：我们主要聚焦于与电池相关的未来可能在固态电池方面有发展的企业进行接触和合作，以拓宽业务边界。TCO25年毛利率下降的主要原因是客供料比例相较于24年显著下降，从42%降至19%多，导致销售额增长的同时毛利率下降。此外，铜材价格上涨也有一定影响，但相对较小。</w:t>
      </w:r>
    </w:p>
    <w:p>
      <w:r>
        <w:rPr>
          <w:rFonts w:ascii="等线(中文正文)" w:hAnsi="等线(中文正文)" w:cs="等线(中文正文)" w:eastAsia="等线(中文正文)"/>
          <w:b w:val="false"/>
          <w:i w:val="false"/>
          <w:sz w:val="20"/>
        </w:rPr>
        <w:t/>
      </w:r>
    </w:p>
    <w:p>
      <w:pPr>
        <w:pStyle w:val="ab"/>
      </w:pPr>
      <w:r>
        <w:t>发言人1 问：26年一季度毛利率回升的主要原因是什么？</w:t>
      </w:r>
    </w:p>
    <w:p>
      <w:r>
        <w:rPr>
          <w:rFonts w:ascii="等线(中文正文)" w:hAnsi="等线(中文正文)" w:cs="等线(中文正文)" w:eastAsia="等线(中文正文)"/>
          <w:b w:val="false"/>
          <w:i w:val="false"/>
          <w:sz w:val="20"/>
        </w:rPr>
        <w:t>发言人1 答：26年一季度毛利率回升的原因有两个方面：一是规模效应的影响，随着产量增加，固定制造成本被摊薄；二是日元汇率下降，虽然销售价格未变，但由于采购成本降低，额外带来了利润空间。</w:t>
      </w:r>
    </w:p>
    <w:p>
      <w:r>
        <w:rPr>
          <w:rFonts w:ascii="等线(中文正文)" w:hAnsi="等线(中文正文)" w:cs="等线(中文正文)" w:eastAsia="等线(中文正文)"/>
          <w:b w:val="false"/>
          <w:i w:val="false"/>
          <w:sz w:val="20"/>
        </w:rPr>
        <w:t/>
      </w:r>
    </w:p>
    <w:p>
      <w:pPr>
        <w:pStyle w:val="ab"/>
      </w:pPr>
      <w:r>
        <w:t>发言人1 问：对于26年管理费用的预计情况如何？</w:t>
      </w:r>
    </w:p>
    <w:p>
      <w:r>
        <w:rPr>
          <w:rFonts w:ascii="等线(中文正文)" w:hAnsi="等线(中文正文)" w:cs="等线(中文正文)" w:eastAsia="等线(中文正文)"/>
          <w:b w:val="false"/>
          <w:i w:val="false"/>
          <w:sz w:val="20"/>
        </w:rPr>
        <w:t>发言人1 答：26年整体管理费用预计会在3300万的基础上有所增加，主要原因是阿凡达新项目的投产将带来新的折旧摊销费用，这部分金额尚未具体计算，但应会相当可观。</w:t>
      </w:r>
    </w:p>
    <w:p>
      <w:r>
        <w:rPr>
          <w:rFonts w:ascii="等线(中文正文)" w:hAnsi="等线(中文正文)" w:cs="等线(中文正文)" w:eastAsia="等线(中文正文)"/>
          <w:b w:val="false"/>
          <w:i w:val="false"/>
          <w:sz w:val="20"/>
        </w:rPr>
        <w:t/>
      </w:r>
    </w:p>
    <w:p>
      <w:pPr>
        <w:pStyle w:val="ab"/>
      </w:pPr>
      <w:r>
        <w:t>发言人1 问：研发费用大幅增加的原因有哪些？</w:t>
      </w:r>
    </w:p>
    <w:p>
      <w:r>
        <w:rPr>
          <w:rFonts w:ascii="等线(中文正文)" w:hAnsi="等线(中文正文)" w:cs="等线(中文正文)" w:eastAsia="等线(中文正文)"/>
          <w:b w:val="false"/>
          <w:i w:val="false"/>
          <w:sz w:val="20"/>
        </w:rPr>
        <w:t>发言人1 答：研发费用增加主要有三个原因：一是产品更新迭代需要大量研发投入；二是股权激励产生的股份支付费用增加，去年这一块有六百多万，而前一年只有一百多万，相差500万；三是研发过程中产生的研发样品也会产生相应费用。</w:t>
      </w:r>
    </w:p>
    <w:p>
      <w:r>
        <w:rPr>
          <w:rFonts w:ascii="等线(中文正文)" w:hAnsi="等线(中文正文)" w:cs="等线(中文正文)" w:eastAsia="等线(中文正文)"/>
          <w:b w:val="false"/>
          <w:i w:val="false"/>
          <w:sz w:val="20"/>
        </w:rPr>
        <w:t/>
      </w:r>
    </w:p>
    <w:p>
      <w:pPr>
        <w:pStyle w:val="ab"/>
      </w:pPr>
      <w:r>
        <w:t>发言人1 问：对于26年的整体布局和看点有哪些？</w:t>
      </w:r>
    </w:p>
    <w:p>
      <w:r>
        <w:rPr>
          <w:rFonts w:ascii="等线(中文正文)" w:hAnsi="等线(中文正文)" w:cs="等线(中文正文)" w:eastAsia="等线(中文正文)"/>
          <w:b w:val="false"/>
          <w:i w:val="false"/>
          <w:sz w:val="20"/>
        </w:rPr>
        <w:t>发言人1 答：26年整体目标是实现增长25%，从一季度的表现来看，达成股权激励目标的可能性较大。在新应用领域如氢能和新型电池集流体等方面有信心实现增长。同时，随着新项目不断投入使用，相信后续业绩会有惊喜表现。其他方面则保持稳中有增的态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