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丘博保险 260423_导读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quarter north amErica core Operating property pricing ANH investment income arms retail business premiums grew growth company rate financial term capital middle 关注公众号 inadequate pricing commercial property underwriting income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次保险行业的讨论中，公司管理层详细分析了多个关键话题，包括新业务挑战、投资产品与收益匹配、AI在降低成本中的潜力、私人信贷角色、房地产市场定价及其对保险费率的影响、竞争对定价的潜在作用、工作场所福利业务增长以及参与政府保险计划的机会。此外，还探讨了再保险市场的变化、风险调整考虑以及技术进步对成本优化的影响。面对全球不确定性，如俄乌战争导致的经济挑战，公司凭借强大的资产负债表、盈利能力和流动性保持优势，通过全球多元化业务和严格承保方法维持良好业绩。管理层对未来表达了乐观态度，强调利用人工智能优化业务、维持财务健康和资本管理的重要性。问答环节进一步讨论了公司策略、市场趋势和技术影响，显示了应对竞争的准备和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首季财报发布与投资者交流会</w:t>
      </w:r>
    </w:p>
    <w:p>
      <w:r>
        <w:rPr>
          <w:rFonts w:ascii="等线(中文正文)" w:hAnsi="等线(中文正文)" w:cs="等线(中文正文)" w:eastAsia="等线(中文正文)"/>
          <w:b w:val="false"/>
          <w:i w:val="false"/>
          <w:sz w:val="20"/>
        </w:rPr>
        <w:t>本次通话旨在欢迎投资者参加公司首季财报电话会议，强调了财报中的前瞻性声明及潜在风险因素。通话中提及了财务非通用指标的调整信息，并安排了问答环节，由管理层成员参与解答投资者疑问，旨在增进透明度和投资者沟通。</w:t>
      </w:r>
    </w:p>
    <w:p>
      <w:r>
        <w:rPr>
          <w:rFonts w:ascii="等线(中文正文)" w:hAnsi="等线(中文正文)" w:cs="等线(中文正文)" w:eastAsia="等线(中文正文)"/>
          <w:b w:val="false"/>
          <w:i w:val="false"/>
          <w:sz w:val="20"/>
        </w:rPr>
        <w:t/>
      </w:r>
    </w:p>
    <w:p>
      <w:pPr>
        <w:pStyle w:val="ab"/>
        <w:numPr>
          <w:numId w:val="2"/>
        </w:numPr>
      </w:pPr>
      <w:r>
        <w:t>01:37 公司业绩报告与市场环境分析</w:t>
      </w:r>
    </w:p>
    <w:p>
      <w:r>
        <w:rPr>
          <w:rFonts w:ascii="等线(中文正文)" w:hAnsi="等线(中文正文)" w:cs="等线(中文正文)" w:eastAsia="等线(中文正文)"/>
          <w:b w:val="false"/>
          <w:i w:val="false"/>
          <w:sz w:val="20"/>
        </w:rPr>
        <w:t>对话围绕公司在全球经济不确定背景下的强劲业绩展开，提及战争引发的通胀和经济增速放缓压力，公司通过全球化业务和严谨承保策略保持稳健。一季度，公司核心收入、每股收益及有形账面价值显著增长，总保费收入提升，P&amp;C保险承保利润和投资收益均表现优异，年化ROTE达20.6%，ROA为14%。公司强调全球化、多元化的产品线和客户基础，以及定价和费率环境的优化策略。</w:t>
      </w:r>
    </w:p>
    <w:p>
      <w:r>
        <w:rPr>
          <w:rFonts w:ascii="等线(中文正文)" w:hAnsi="等线(中文正文)" w:cs="等线(中文正文)" w:eastAsia="等线(中文正文)"/>
          <w:b w:val="false"/>
          <w:i w:val="false"/>
          <w:sz w:val="20"/>
        </w:rPr>
        <w:t/>
      </w:r>
    </w:p>
    <w:p>
      <w:pPr>
        <w:pStyle w:val="ab"/>
        <w:numPr>
          <w:numId w:val="3"/>
        </w:numPr>
      </w:pPr>
      <w:r>
        <w:t>06:04 全球保险业务增长与市场策略分析</w:t>
      </w:r>
    </w:p>
    <w:p>
      <w:r>
        <w:rPr>
          <w:rFonts w:ascii="等线(中文正文)" w:hAnsi="等线(中文正文)" w:cs="等线(中文正文)" w:eastAsia="等线(中文正文)"/>
          <w:b w:val="false"/>
          <w:i w:val="false"/>
          <w:sz w:val="20"/>
        </w:rPr>
        <w:t>报告详细分析了国际和北美地区的保险业务增长情况，包括零售和商业保险的保费收入、增长率及定价策略。国际零售业务在欧洲、亚洲和美洲市场表现强劲，北美商业保险增长显著，特别是个人和商业线路。同时，讨论了市场竞争加剧下的策略调整，如再保险购买和特定业务线的定价变化。整体上，公司展现出强大的市场适应能力和增长潜力。</w:t>
      </w:r>
    </w:p>
    <w:p>
      <w:r>
        <w:rPr>
          <w:rFonts w:ascii="等线(中文正文)" w:hAnsi="等线(中文正文)" w:cs="等线(中文正文)" w:eastAsia="等线(中文正文)"/>
          <w:b w:val="false"/>
          <w:i w:val="false"/>
          <w:sz w:val="20"/>
        </w:rPr>
        <w:t/>
      </w:r>
    </w:p>
    <w:p>
      <w:pPr>
        <w:pStyle w:val="ab"/>
        <w:numPr>
          <w:numId w:val="4"/>
        </w:numPr>
      </w:pPr>
      <w:r>
        <w:t>12:30 公司业绩与市场策略讨论</w:t>
      </w:r>
    </w:p>
    <w:p>
      <w:r>
        <w:rPr>
          <w:rFonts w:ascii="等线(中文正文)" w:hAnsi="等线(中文正文)" w:cs="等线(中文正文)" w:eastAsia="等线(中文正文)"/>
          <w:b w:val="false"/>
          <w:i w:val="false"/>
          <w:sz w:val="20"/>
        </w:rPr>
        <w:t>公司首季度业绩强劲，财务状况良好，现金及投资资产创纪录。期间发行债券，股东回报丰厚，书值创新高。讨论涉及全球供应链挑战及通胀预期，以及AI在小型市场保险业务中的应用与增长潜力。</w:t>
      </w:r>
    </w:p>
    <w:p>
      <w:r>
        <w:rPr>
          <w:rFonts w:ascii="等线(中文正文)" w:hAnsi="等线(中文正文)" w:cs="等线(中文正文)" w:eastAsia="等线(中文正文)"/>
          <w:b w:val="false"/>
          <w:i w:val="false"/>
          <w:sz w:val="20"/>
        </w:rPr>
        <w:t/>
      </w:r>
    </w:p>
    <w:p>
      <w:pPr>
        <w:pStyle w:val="ab"/>
        <w:numPr>
          <w:numId w:val="5"/>
        </w:numPr>
      </w:pPr>
      <w:r>
        <w:t>20:02 市场扩张与技术转型：全球增长与数字变革的挑战</w:t>
      </w:r>
    </w:p>
    <w:p>
      <w:r>
        <w:rPr>
          <w:rFonts w:ascii="等线(中文正文)" w:hAnsi="等线(中文正文)" w:cs="等线(中文正文)" w:eastAsia="等线(中文正文)"/>
          <w:b w:val="false"/>
          <w:i w:val="false"/>
          <w:sz w:val="20"/>
        </w:rPr>
        <w:t>讨论了全球市场，尤其是北美和伦敦市场的显著增长潜力，以及当前市场中的竞争加剧和定价周期的变化。分析了资本流动、市场集中度及再保险市场的角色对竞争的影响，并指出结构性差异是当前市场状况的关键。同时，强调了数字转型在公司战略中的重要性，尤其是在技术快速发展的背景下，公司正积极调整以适应技术变革，保持竞争力。</w:t>
      </w:r>
    </w:p>
    <w:p>
      <w:r>
        <w:rPr>
          <w:rFonts w:ascii="等线(中文正文)" w:hAnsi="等线(中文正文)" w:cs="等线(中文正文)" w:eastAsia="等线(中文正文)"/>
          <w:b w:val="false"/>
          <w:i w:val="false"/>
          <w:sz w:val="20"/>
        </w:rPr>
        <w:t/>
      </w:r>
    </w:p>
    <w:p>
      <w:pPr>
        <w:pStyle w:val="ab"/>
        <w:numPr>
          <w:numId w:val="6"/>
        </w:numPr>
      </w:pPr>
      <w:r>
        <w:t>27:14 科技演变与保险业的应对策略</w:t>
      </w:r>
    </w:p>
    <w:p>
      <w:r>
        <w:rPr>
          <w:rFonts w:ascii="等线(中文正文)" w:hAnsi="等线(中文正文)" w:cs="等线(中文正文)" w:eastAsia="等线(中文正文)"/>
          <w:b w:val="false"/>
          <w:i w:val="false"/>
          <w:sz w:val="20"/>
        </w:rPr>
        <w:t>讨论了科技发展，尤其是信息处理技术对网络安全市场的影响，以及这些变化如何影响保险业，特别是针对不同规模公司的风险评估。还探讨了新技术在识别和修复漏洞方面的应用，以及自动化工具如何提高效率。此外，分析了新业务与续保业务的平衡，以及储蓄型保险产品与定期保费产品在市场中的表现趋势。最后，提到了AI在保险经纪行业中的应用及其可能带来的成本节约和利润增长机会。</w:t>
      </w:r>
    </w:p>
    <w:p>
      <w:r>
        <w:rPr>
          <w:rFonts w:ascii="等线(中文正文)" w:hAnsi="等线(中文正文)" w:cs="等线(中文正文)" w:eastAsia="等线(中文正文)"/>
          <w:b w:val="false"/>
          <w:i w:val="false"/>
          <w:sz w:val="20"/>
        </w:rPr>
        <w:t/>
      </w:r>
    </w:p>
    <w:p>
      <w:pPr>
        <w:pStyle w:val="ab"/>
        <w:numPr>
          <w:numId w:val="7"/>
        </w:numPr>
      </w:pPr>
      <w:r>
        <w:t>38:27 私有信贷与商业地产市场动态分析</w:t>
      </w:r>
    </w:p>
    <w:p>
      <w:r>
        <w:rPr>
          <w:rFonts w:ascii="等线(中文正文)" w:hAnsi="等线(中文正文)" w:cs="等线(中文正文)" w:eastAsia="等线(中文正文)"/>
          <w:b w:val="false"/>
          <w:i w:val="false"/>
          <w:sz w:val="20"/>
        </w:rPr>
        <w:t>讨论了私有信贷在投资组合中的作用，强调了其纪律性和保守性，以及与市场平均表现的对比。同时，分析了商业地产价格稳定性，指出除非模型或气候环境发生变化，否则价格调整将迅速反映在市场中。最后，探讨了商业地产现金价格的稳定性和市场竞争行为的预期变化。</w:t>
      </w:r>
    </w:p>
    <w:p>
      <w:r>
        <w:rPr>
          <w:rFonts w:ascii="等线(中文正文)" w:hAnsi="等线(中文正文)" w:cs="等线(中文正文)" w:eastAsia="等线(中文正文)"/>
          <w:b w:val="false"/>
          <w:i w:val="false"/>
          <w:sz w:val="20"/>
        </w:rPr>
        <w:t/>
      </w:r>
    </w:p>
    <w:p>
      <w:pPr>
        <w:pStyle w:val="ab"/>
        <w:numPr>
          <w:numId w:val="8"/>
        </w:numPr>
      </w:pPr>
      <w:r>
        <w:t>44:48 公司策略与业务增长讨论</w:t>
      </w:r>
    </w:p>
    <w:p>
      <w:r>
        <w:rPr>
          <w:rFonts w:ascii="等线(中文正文)" w:hAnsi="等线(中文正文)" w:cs="等线(中文正文)" w:eastAsia="等线(中文正文)"/>
          <w:b w:val="false"/>
          <w:i w:val="false"/>
          <w:sz w:val="20"/>
        </w:rPr>
        <w:t>对话围绕公司战略、业务增长及市场应对展开。提及儿童工作场所福利业务的16%增长，以及通过代理和数字渠道扩展风险补充产品。讨论了与KKR的合作和AI对业务的影响，同时涉及再保险定价策略和市场条件下的风险控制。</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首先对会议主题进行了简短介绍，并提醒参与者注意会议中包含的前瞻性陈述及其风险，建议参考公司发布的SEC文件。他强调公司在不确定环境中的业务韧性和全球多样性，指出全球局势对经济的影响及可能带来的挑战，但公司凭借强大财务状况展现了适应力。他详细汇报了公司的财务数据，包括保费收入、投资收益和每股收益的增长，以及公司在面对复杂市场条件时的投资组合调整和优化策略。他还提到公司的财务稳健，通过债务发行和现金回报给股东。最后，他表达了对公司未来增长和盈利的乐观态度，并强调了通过技术创新和数字化提升业务效率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was the impact of the war on the global economy and how did the company prepare for it?</w:t>
      </w:r>
    </w:p>
    <w:p>
      <w:r>
        <w:rPr>
          <w:rFonts w:ascii="等线(中文正文)" w:hAnsi="等线(中文正文)" w:cs="等线(中文正文)" w:eastAsia="等线(中文正文)"/>
          <w:b w:val="false"/>
          <w:i w:val="false"/>
          <w:sz w:val="20"/>
        </w:rPr>
        <w:t>发言人1 答：The war in the Middle East raises concerns about higher global inflation and potentially slower economic growth. The company prepared for these potential impacts by leveraging its strong balance sheet, robust earning power, and high liquidity to navigate through the uncertain economic environment.</w:t>
      </w:r>
    </w:p>
    <w:p>
      <w:r>
        <w:rPr>
          <w:rFonts w:ascii="等线(中文正文)" w:hAnsi="等线(中文正文)" w:cs="等线(中文正文)" w:eastAsia="等线(中文正文)"/>
          <w:b w:val="false"/>
          <w:i w:val="false"/>
          <w:sz w:val="20"/>
        </w:rPr>
        <w:t/>
      </w:r>
    </w:p>
    <w:p>
      <w:pPr>
        <w:pStyle w:val="ab"/>
      </w:pPr>
      <w:r>
        <w:t>发言人1 问：What are the key financial results for the quarter mentioned?</w:t>
      </w:r>
    </w:p>
    <w:p>
      <w:r>
        <w:rPr>
          <w:rFonts w:ascii="等线(中文正文)" w:hAnsi="等线(中文正文)" w:cs="等线(中文正文)" w:eastAsia="等线(中文正文)"/>
          <w:b w:val="false"/>
          <w:i w:val="false"/>
          <w:sz w:val="20"/>
        </w:rPr>
        <w:t>发言人1 答：The key financial results for the quarter include a reported net income of $2.7 billion, with earnings per share (EPS) at $6.82, which is a substantial increase over the prior year's first quarter. Additionally, operating income grew by 10.7%, and operating EPS increased by 13.5%, with a tangible book value per share of $21.5%.</w:t>
      </w:r>
    </w:p>
    <w:p>
      <w:r>
        <w:rPr>
          <w:rFonts w:ascii="等线(中文正文)" w:hAnsi="等线(中文正文)" w:cs="等线(中文正文)" w:eastAsia="等线(中文正文)"/>
          <w:b w:val="false"/>
          <w:i w:val="false"/>
          <w:sz w:val="20"/>
        </w:rPr>
        <w:t/>
      </w:r>
    </w:p>
    <w:p>
      <w:pPr>
        <w:pStyle w:val="ab"/>
      </w:pPr>
      <w:r>
        <w:t>发言人1 问：How did total company net premiums grow, and what factors influenced this growth?</w:t>
      </w:r>
    </w:p>
    <w:p>
      <w:r>
        <w:rPr>
          <w:rFonts w:ascii="等线(中文正文)" w:hAnsi="等线(中文正文)" w:cs="等线(中文正文)" w:eastAsia="等线(中文正文)"/>
          <w:b w:val="false"/>
          <w:i w:val="false"/>
          <w:sz w:val="20"/>
        </w:rPr>
        <w:t>发言人1 答：Total company net premiums grew by 10.7% to more than $14 billion for the quarter, with both property and casualty (P&amp;C) premiums and life group premiums experiencing growth. Factors that influenced this growth include foreign exchange benefits, excellent underwriting performance, and disciplined pricing strategies.</w:t>
      </w:r>
    </w:p>
    <w:p>
      <w:r>
        <w:rPr>
          <w:rFonts w:ascii="等线(中文正文)" w:hAnsi="等线(中文正文)" w:cs="等线(中文正文)" w:eastAsia="等线(中文正文)"/>
          <w:b w:val="false"/>
          <w:i w:val="false"/>
          <w:sz w:val="20"/>
        </w:rPr>
        <w:t/>
      </w:r>
    </w:p>
    <w:p>
      <w:pPr>
        <w:pStyle w:val="ab"/>
      </w:pPr>
      <w:r>
        <w:t>发言人1 问：How did P&amp;C premiums and life premiums perform in the quarter?</w:t>
      </w:r>
    </w:p>
    <w:p>
      <w:r>
        <w:rPr>
          <w:rFonts w:ascii="等线(中文正文)" w:hAnsi="等线(中文正文)" w:cs="等线(中文正文)" w:eastAsia="等线(中文正文)"/>
          <w:b w:val="false"/>
          <w:i w:val="false"/>
          <w:sz w:val="20"/>
        </w:rPr>
        <w:t>发言人1 答：P&amp;C premiums grew by 7.2%, and life premiums grew by more than 33% for the quarter, with both segments benefiting from foreign exchange. The growth was attributed to a disciplined approach to underwriting and strong balance sheet management.</w:t>
      </w:r>
    </w:p>
    <w:p>
      <w:r>
        <w:rPr>
          <w:rFonts w:ascii="等线(中文正文)" w:hAnsi="等线(中文正文)" w:cs="等线(中文正文)" w:eastAsia="等线(中文正文)"/>
          <w:b w:val="false"/>
          <w:i w:val="false"/>
          <w:sz w:val="20"/>
        </w:rPr>
        <w:t/>
      </w:r>
    </w:p>
    <w:p>
      <w:pPr>
        <w:pStyle w:val="ab"/>
      </w:pPr>
      <w:r>
        <w:t>发言人1 问：What was the combined ratio for the quarter, and how did it compare to the prior year?</w:t>
      </w:r>
    </w:p>
    <w:p>
      <w:r>
        <w:rPr>
          <w:rFonts w:ascii="等线(中文正文)" w:hAnsi="等线(中文正文)" w:cs="等线(中文正文)" w:eastAsia="等线(中文正文)"/>
          <w:b w:val="false"/>
          <w:i w:val="false"/>
          <w:sz w:val="20"/>
        </w:rPr>
        <w:t>发言人1 答：The combined ratio for the quarter was 84%, indicating an excellent underwriting performance. Compared to the prior year, the combined ratio grew by 9.8% on a current accident basis, suggesting a strong balance sheet and profitable operations.</w:t>
      </w:r>
    </w:p>
    <w:p>
      <w:r>
        <w:rPr>
          <w:rFonts w:ascii="等线(中文正文)" w:hAnsi="等线(中文正文)" w:cs="等线(中文正文)" w:eastAsia="等线(中文正文)"/>
          <w:b w:val="false"/>
          <w:i w:val="false"/>
          <w:sz w:val="20"/>
        </w:rPr>
        <w:t/>
      </w:r>
    </w:p>
    <w:p>
      <w:pPr>
        <w:pStyle w:val="ab"/>
      </w:pPr>
      <w:r>
        <w:t>发言人1 问：How did investment income contribute to the company's performance?</w:t>
      </w:r>
    </w:p>
    <w:p>
      <w:r>
        <w:rPr>
          <w:rFonts w:ascii="等线(中文正文)" w:hAnsi="等线(中文正文)" w:cs="等线(中文正文)" w:eastAsia="等线(中文正文)"/>
          <w:b w:val="false"/>
          <w:i w:val="false"/>
          <w:sz w:val="20"/>
        </w:rPr>
        <w:t>发言人1 答：Investment income for the quarter was $1.8 billion, with more than a 10% return, bolstering the company's overall performance by contributing to its diverse geographic and product mix, as well as its strong balance sheet and earning power.</w:t>
      </w:r>
    </w:p>
    <w:p>
      <w:r>
        <w:rPr>
          <w:rFonts w:ascii="等线(中文正文)" w:hAnsi="等线(中文正文)" w:cs="等线(中文正文)" w:eastAsia="等线(中文正文)"/>
          <w:b w:val="false"/>
          <w:i w:val="false"/>
          <w:sz w:val="20"/>
        </w:rPr>
        <w:t/>
      </w:r>
    </w:p>
    <w:p>
      <w:pPr>
        <w:pStyle w:val="ab"/>
      </w:pPr>
      <w:r>
        <w:t>发言人1 问：What is the significance of the annualized operating return on tangible equity?</w:t>
      </w:r>
    </w:p>
    <w:p>
      <w:r>
        <w:rPr>
          <w:rFonts w:ascii="等线(中文正文)" w:hAnsi="等线(中文正文)" w:cs="等线(中文正文)" w:eastAsia="等线(中文正文)"/>
          <w:b w:val="false"/>
          <w:i w:val="false"/>
          <w:sz w:val="20"/>
        </w:rPr>
        <w:t>发言人1 答：The annualized operating return on tangible equity of 20.6% highlights the company's profitability and efficiency, as it represents the return generated from tangible equity, which is a key indicator of sustainable earnings capacity.</w:t>
      </w:r>
    </w:p>
    <w:p>
      <w:r>
        <w:rPr>
          <w:rFonts w:ascii="等线(中文正文)" w:hAnsi="等线(中文正文)" w:cs="等线(中文正文)" w:eastAsia="等线(中文正文)"/>
          <w:b w:val="false"/>
          <w:i w:val="false"/>
          <w:sz w:val="20"/>
        </w:rPr>
        <w:t/>
      </w:r>
    </w:p>
    <w:p>
      <w:pPr>
        <w:pStyle w:val="ab"/>
      </w:pPr>
      <w:r>
        <w:t>发言人1 问：What were the trends in pricing and loss costs for the company's property and casualty business in North America?</w:t>
      </w:r>
    </w:p>
    <w:p>
      <w:r>
        <w:rPr>
          <w:rFonts w:ascii="等线(中文正文)" w:hAnsi="等线(中文正文)" w:cs="等线(中文正文)" w:eastAsia="等线(中文正文)"/>
          <w:b w:val="false"/>
          <w:i w:val="false"/>
          <w:sz w:val="20"/>
        </w:rPr>
        <w:t>发言人1 答：The company experienced varied pricing trends in its property and casualty business in North America, with consumer rates up 14.2%, commercial rates up 14.6%, and overseas general growth of 14.4%. Selected loss cost trends varied across different segments, with London wholesale business rates up 1.5% and financial lines rates down 7.4%, reflecting a competitive market and selective underwriting approach.</w:t>
      </w:r>
    </w:p>
    <w:p>
      <w:r>
        <w:rPr>
          <w:rFonts w:ascii="等线(中文正文)" w:hAnsi="等线(中文正文)" w:cs="等线(中文正文)" w:eastAsia="等线(中文正文)"/>
          <w:b w:val="false"/>
          <w:i w:val="false"/>
          <w:sz w:val="20"/>
        </w:rPr>
        <w:t/>
      </w:r>
    </w:p>
    <w:p>
      <w:pPr>
        <w:pStyle w:val="ab"/>
      </w:pPr>
      <w:r>
        <w:t>发言人1 问：How did international and North American operations contribute to the company's growth?</w:t>
      </w:r>
    </w:p>
    <w:p>
      <w:r>
        <w:rPr>
          <w:rFonts w:ascii="等线(中文正文)" w:hAnsi="等线(中文正文)" w:cs="等线(中文正文)" w:eastAsia="等线(中文正文)"/>
          <w:b w:val="false"/>
          <w:i w:val="false"/>
          <w:sz w:val="20"/>
        </w:rPr>
        <w:t>发言人1 答：International operations contributed to the company's growth with a 14.4% increase in overseas general premiums and double-digit growth in Europe and Asia. In North America, total premiums grew by 4.1%, with substantial increases in personal and commercial lines, driven by a broad range of casualty, marine, and financial services businesses.</w:t>
      </w:r>
    </w:p>
    <w:p>
      <w:r>
        <w:rPr>
          <w:rFonts w:ascii="等线(中文正文)" w:hAnsi="等线(中文正文)" w:cs="等线(中文正文)" w:eastAsia="等线(中文正文)"/>
          <w:b w:val="false"/>
          <w:i w:val="false"/>
          <w:sz w:val="20"/>
        </w:rPr>
        <w:t/>
      </w:r>
    </w:p>
    <w:p>
      <w:pPr>
        <w:pStyle w:val="ab"/>
      </w:pPr>
      <w:r>
        <w:t>发言人1 问：What was the life division's protest income in the quarter, and how does it compare to the previous year?</w:t>
      </w:r>
    </w:p>
    <w:p>
      <w:r>
        <w:rPr>
          <w:rFonts w:ascii="等线(中文正文)" w:hAnsi="等线(中文正文)" w:cs="等线(中文正文)" w:eastAsia="等线(中文正文)"/>
          <w:b w:val="false"/>
          <w:i w:val="false"/>
          <w:sz w:val="20"/>
        </w:rPr>
        <w:t>发言人1 答：The life division produced $316 million of protest income in the quarter, which is about a half percent, and after adjusting for one-time items from last year's first quarter, life is up about one and a half some.</w:t>
      </w:r>
    </w:p>
    <w:p>
      <w:r>
        <w:rPr>
          <w:rFonts w:ascii="等线(中文正文)" w:hAnsi="等线(中文正文)" w:cs="等线(中文正文)" w:eastAsia="等线(中文正文)"/>
          <w:b w:val="false"/>
          <w:i w:val="false"/>
          <w:sz w:val="20"/>
        </w:rPr>
        <w:t/>
      </w:r>
    </w:p>
    <w:p>
      <w:pPr>
        <w:pStyle w:val="ab"/>
      </w:pPr>
      <w:r>
        <w:t>发言人1 问：How does the speaker describe the macro environment's impact on strong companies?</w:t>
      </w:r>
    </w:p>
    <w:p>
      <w:r>
        <w:rPr>
          <w:rFonts w:ascii="等线(中文正文)" w:hAnsi="等线(中文正文)" w:cs="等线(中文正文)" w:eastAsia="等线(中文正文)"/>
          <w:b w:val="false"/>
          <w:i w:val="false"/>
          <w:sz w:val="20"/>
        </w:rPr>
        <w:t>发言人1 答：The speaker notes that in a difficult macro environment, strong companies generally have an advantage, and factors like diversification, market leadership, and operating discipline provide resilience. The company remains patient and sees many sources of opportunity.</w:t>
      </w:r>
    </w:p>
    <w:p>
      <w:r>
        <w:rPr>
          <w:rFonts w:ascii="等线(中文正文)" w:hAnsi="等线(中文正文)" w:cs="等线(中文正文)" w:eastAsia="等线(中文正文)"/>
          <w:b w:val="false"/>
          <w:i w:val="false"/>
          <w:sz w:val="20"/>
        </w:rPr>
        <w:t/>
      </w:r>
    </w:p>
    <w:p>
      <w:pPr>
        <w:pStyle w:val="ab"/>
      </w:pPr>
      <w:r>
        <w:t>发言人1 问：What are the company's plans for growth and earnings, and what did they achieve in the first quarter?</w:t>
      </w:r>
    </w:p>
    <w:p>
      <w:r>
        <w:rPr>
          <w:rFonts w:ascii="等线(中文正文)" w:hAnsi="等线(中文正文)" w:cs="等线(中文正文)" w:eastAsia="等线(中文正文)"/>
          <w:b w:val="false"/>
          <w:i w:val="false"/>
          <w:sz w:val="20"/>
        </w:rPr>
        <w:t>发言人1 答：The company remains confident in its ability to generate strong growth in operating earnings and double-digit growth in EPS, as well as to maintain or increase tangible book value. In the first quarter, they concluded March in an excellent financial position with balance sheet strength, liquidity, record cash and invested assets, issued debt at a low cost, returned capital to shareholders, and ended the period with an all-time high in book value.</w:t>
      </w:r>
    </w:p>
    <w:p>
      <w:r>
        <w:rPr>
          <w:rFonts w:ascii="等线(中文正文)" w:hAnsi="等线(中文正文)" w:cs="等线(中文正文)" w:eastAsia="等线(中文正文)"/>
          <w:b w:val="false"/>
          <w:i w:val="false"/>
          <w:sz w:val="20"/>
        </w:rPr>
        <w:t/>
      </w:r>
    </w:p>
    <w:p>
      <w:pPr>
        <w:pStyle w:val="ab"/>
      </w:pPr>
      <w:r>
        <w:t>发言人1 问：What financial results did the company achieve in the first quarter?</w:t>
      </w:r>
    </w:p>
    <w:p>
      <w:r>
        <w:rPr>
          <w:rFonts w:ascii="等线(中文正文)" w:hAnsi="等线(中文正文)" w:cs="等线(中文正文)" w:eastAsia="等线(中文正文)"/>
          <w:b w:val="false"/>
          <w:i w:val="false"/>
          <w:sz w:val="20"/>
        </w:rPr>
        <w:t>发言人1 答：Financial results for the first quarter include a strong set of results, balance sheet strength, and liquidity, with record cash and invested assets. They issued $200 million in Swiss Francs or $250 million in US dollars six-year debt at 1%, returned $1.5 billion to shareholders through share purchases and dividends, and ended the period with an all-time high in book value.</w:t>
      </w:r>
    </w:p>
    <w:p>
      <w:r>
        <w:rPr>
          <w:rFonts w:ascii="等线(中文正文)" w:hAnsi="等线(中文正文)" w:cs="等线(中文正文)" w:eastAsia="等线(中文正文)"/>
          <w:b w:val="false"/>
          <w:i w:val="false"/>
          <w:sz w:val="20"/>
        </w:rPr>
        <w:t/>
      </w:r>
    </w:p>
    <w:p>
      <w:pPr>
        <w:pStyle w:val="ab"/>
      </w:pPr>
      <w:r>
        <w:t>发言人1 问：What was the impact of prior period development on the active companies in the quarter?</w:t>
      </w:r>
    </w:p>
    <w:p>
      <w:r>
        <w:rPr>
          <w:rFonts w:ascii="等线(中文正文)" w:hAnsi="等线(中文正文)" w:cs="等线(中文正文)" w:eastAsia="等线(中文正文)"/>
          <w:b w:val="false"/>
          <w:i w:val="false"/>
          <w:sz w:val="20"/>
        </w:rPr>
        <w:t>发言人1 答：The prior period development in the quarter for active companies was favorable, with $322 million of favorable development in short-tail lines and $21 million of unfavorable development in long-tail lines, resulting in an overall adver development of $15 million.</w:t>
      </w:r>
    </w:p>
    <w:p>
      <w:r>
        <w:rPr>
          <w:rFonts w:ascii="等线(中文正文)" w:hAnsi="等线(中文正文)" w:cs="等线(中文正文)" w:eastAsia="等线(中文正文)"/>
          <w:b w:val="false"/>
          <w:i w:val="false"/>
          <w:sz w:val="20"/>
        </w:rPr>
        <w:t/>
      </w:r>
    </w:p>
    <w:p>
      <w:pPr>
        <w:pStyle w:val="ab"/>
      </w:pPr>
      <w:r>
        <w:t>发言人1 问：How did the investments and investment portfolios perform in the quarter?</w:t>
      </w:r>
    </w:p>
    <w:p>
      <w:r>
        <w:rPr>
          <w:rFonts w:ascii="等线(中文正文)" w:hAnsi="等线(中文正文)" w:cs="等线(中文正文)" w:eastAsia="等线(中文正文)"/>
          <w:b w:val="false"/>
          <w:i w:val="false"/>
          <w:sz w:val="20"/>
        </w:rPr>
        <w:t>发言人1 答：Investments and investment portfolios increased by about $1.5 billion due to strong operating cash flow and positive exchange rates, partially offset by a net decrease from an increase in net rates and widening of credit spreads. Net investment income of $1.84 billion was at the top end of the previously guided range, primarily due to an increase in invested assets' face value and stronger private equity returns.</w:t>
      </w:r>
    </w:p>
    <w:p>
      <w:r>
        <w:rPr>
          <w:rFonts w:ascii="等线(中文正文)" w:hAnsi="等线(中文正文)" w:cs="等线(中文正文)" w:eastAsia="等线(中文正文)"/>
          <w:b w:val="false"/>
          <w:i w:val="false"/>
          <w:sz w:val="20"/>
        </w:rPr>
        <w:t/>
      </w:r>
    </w:p>
    <w:p>
      <w:pPr>
        <w:pStyle w:val="ab"/>
      </w:pPr>
      <w:r>
        <w:t>发言人1 问：What is the core operating effective tax rate for the quarter and the full year?</w:t>
      </w:r>
    </w:p>
    <w:p>
      <w:r>
        <w:rPr>
          <w:rFonts w:ascii="等线(中文正文)" w:hAnsi="等线(中文正文)" w:cs="等线(中文正文)" w:eastAsia="等线(中文正文)"/>
          <w:b w:val="false"/>
          <w:i w:val="false"/>
          <w:sz w:val="20"/>
        </w:rPr>
        <w:t>发言人1 答：The core operating effective tax rate for the quarter was 19.3%, which was slightly below the previously guided range, primarily due to compensation-related equity rewards. The company continues to expect its core operating effective tax rate for the full year to be in the range of 19-25%.</w:t>
      </w:r>
    </w:p>
    <w:p>
      <w:r>
        <w:rPr>
          <w:rFonts w:ascii="等线(中文正文)" w:hAnsi="等线(中文正文)" w:cs="等线(中文正文)" w:eastAsia="等线(中文正文)"/>
          <w:b w:val="false"/>
          <w:i w:val="false"/>
          <w:sz w:val="20"/>
        </w:rPr>
        <w:t/>
      </w:r>
    </w:p>
    <w:p>
      <w:pPr>
        <w:pStyle w:val="ab"/>
      </w:pPr>
      <w:r>
        <w:t>发言人1 问：What is the company's view on geopolitical commentary and inflationary concerns?</w:t>
      </w:r>
    </w:p>
    <w:p>
      <w:r>
        <w:rPr>
          <w:rFonts w:ascii="等线(中文正文)" w:hAnsi="等线(中文正文)" w:cs="等线(中文正文)" w:eastAsia="等线(中文正文)"/>
          <w:b w:val="false"/>
          <w:i w:val="false"/>
          <w:sz w:val="20"/>
        </w:rPr>
        <w:t>发言人1 答：The company acknowledges the inflationary concerns out of Asia, parts of Europe due to the conflict in Iran, but notes that the pattern, timing, and extent of the impact of global supply changes on the US are unknowable. The speaker is not concerned about IT being long-term and is uncertain about how IT will manifest and its transience.</w:t>
      </w:r>
    </w:p>
    <w:p>
      <w:r>
        <w:rPr>
          <w:rFonts w:ascii="等线(中文正文)" w:hAnsi="等线(中文正文)" w:cs="等线(中文正文)" w:eastAsia="等线(中文正文)"/>
          <w:b w:val="false"/>
          <w:i w:val="false"/>
          <w:sz w:val="20"/>
        </w:rPr>
        <w:t/>
      </w:r>
    </w:p>
    <w:p>
      <w:pPr>
        <w:pStyle w:val="ab"/>
      </w:pPr>
      <w:r>
        <w:t>发言人1 问：How does the company see the growth trajectory of the small market ENS business over the next five years?</w:t>
      </w:r>
    </w:p>
    <w:p>
      <w:r>
        <w:rPr>
          <w:rFonts w:ascii="等线(中文正文)" w:hAnsi="等线(中文正文)" w:cs="等线(中文正文)" w:eastAsia="等线(中文正文)"/>
          <w:b w:val="false"/>
          <w:i w:val="false"/>
          <w:sz w:val="20"/>
        </w:rPr>
        <w:t>发言人1 答：The company believes that the small commercial market and retail represent greater opportunities than just the ENS business. They have transformed the business and continue to evolve it with AI, including the use of GPT and large language model capabilities. The company views IT as a real growth area for the next five years, not only in North America but also in various international markets.</w:t>
      </w:r>
    </w:p>
    <w:p>
      <w:r>
        <w:rPr>
          <w:rFonts w:ascii="等线(中文正文)" w:hAnsi="等线(中文正文)" w:cs="等线(中文正文)" w:eastAsia="等线(中文正文)"/>
          <w:b w:val="false"/>
          <w:i w:val="false"/>
          <w:sz w:val="20"/>
        </w:rPr>
        <w:t/>
      </w:r>
    </w:p>
    <w:p>
      <w:pPr>
        <w:pStyle w:val="ab"/>
      </w:pPr>
      <w:r>
        <w:t>发言人1 问：What factors are currently contributing to market rate increases in the insurance industry?</w:t>
      </w:r>
    </w:p>
    <w:p>
      <w:r>
        <w:rPr>
          <w:rFonts w:ascii="等线(中文正文)" w:hAnsi="等线(中文正文)" w:cs="等线(中文正文)" w:eastAsia="等线(中文正文)"/>
          <w:b w:val="false"/>
          <w:i w:val="false"/>
          <w:sz w:val="20"/>
        </w:rPr>
        <w:t>发言人1 答：Market rate increases in the insurance industry are being driven by several factors, including competition, the cycles of reinsurance, and the effects seen in the top line growth in the marketplace.</w:t>
      </w:r>
    </w:p>
    <w:p>
      <w:r>
        <w:rPr>
          <w:rFonts w:ascii="等线(中文正文)" w:hAnsi="等线(中文正文)" w:cs="等线(中文正文)" w:eastAsia="等线(中文正文)"/>
          <w:b w:val="false"/>
          <w:i w:val="false"/>
          <w:sz w:val="20"/>
        </w:rPr>
        <w:t/>
      </w:r>
    </w:p>
    <w:p>
      <w:pPr>
        <w:pStyle w:val="ab"/>
      </w:pPr>
      <w:r>
        <w:t>发言人1 问：What are the overall market rates and loss costs in North America and London?</w:t>
      </w:r>
    </w:p>
    <w:p>
      <w:r>
        <w:rPr>
          <w:rFonts w:ascii="等线(中文正文)" w:hAnsi="等线(中文正文)" w:cs="等线(中文正文)" w:eastAsia="等线(中文正文)"/>
          <w:b w:val="false"/>
          <w:i w:val="false"/>
          <w:sz w:val="20"/>
        </w:rPr>
        <w:t>发言人1 答：Overall market rates in North America and London have increased by 25 percent in the quarter, and loss costs are moving about four to five percent.</w:t>
      </w:r>
    </w:p>
    <w:p>
      <w:r>
        <w:rPr>
          <w:rFonts w:ascii="等线(中文正文)" w:hAnsi="等线(中文正文)" w:cs="等线(中文正文)" w:eastAsia="等线(中文正文)"/>
          <w:b w:val="false"/>
          <w:i w:val="false"/>
          <w:sz w:val="20"/>
        </w:rPr>
        <w:t/>
      </w:r>
    </w:p>
    <w:p>
      <w:pPr>
        <w:pStyle w:val="ab"/>
      </w:pPr>
      <w:r>
        <w:t>发言人1 问：How does the supply of capital compare to the demand in the insurance industry?</w:t>
      </w:r>
    </w:p>
    <w:p>
      <w:r>
        <w:rPr>
          <w:rFonts w:ascii="等线(中文正文)" w:hAnsi="等线(中文正文)" w:cs="等线(中文正文)" w:eastAsia="等线(中文正文)"/>
          <w:b w:val="false"/>
          <w:i w:val="false"/>
          <w:sz w:val="20"/>
        </w:rPr>
        <w:t>发言人1 答：The supply of capital is chasing a relatively finite amount of business, resulting in a concentration of capital in a small number of reinsurers, making the market very competitive.</w:t>
      </w:r>
    </w:p>
    <w:p>
      <w:r>
        <w:rPr>
          <w:rFonts w:ascii="等线(中文正文)" w:hAnsi="等线(中文正文)" w:cs="等线(中文正文)" w:eastAsia="等线(中文正文)"/>
          <w:b w:val="false"/>
          <w:i w:val="false"/>
          <w:sz w:val="20"/>
        </w:rPr>
        <w:t/>
      </w:r>
    </w:p>
    <w:p>
      <w:pPr>
        <w:pStyle w:val="ab"/>
      </w:pPr>
      <w:r>
        <w:t>发言人1 问：What is the structural difference in the IT sector of the insurance industry?</w:t>
      </w:r>
    </w:p>
    <w:p>
      <w:r>
        <w:rPr>
          <w:rFonts w:ascii="等线(中文正文)" w:hAnsi="等线(中文正文)" w:cs="等线(中文正文)" w:eastAsia="等线(中文正文)"/>
          <w:b w:val="false"/>
          <w:i w:val="false"/>
          <w:sz w:val="20"/>
        </w:rPr>
        <w:t>发言人1 答：The structural difference in the IT sector of the insurance industry is the volume-based incentives system, where a majority of IT functions are driven by volume, rather than the value or the complexity of the transactions.</w:t>
      </w:r>
    </w:p>
    <w:p>
      <w:r>
        <w:rPr>
          <w:rFonts w:ascii="等线(中文正文)" w:hAnsi="等线(中文正文)" w:cs="等线(中文正文)" w:eastAsia="等线(中文正文)"/>
          <w:b w:val="false"/>
          <w:i w:val="false"/>
          <w:sz w:val="20"/>
        </w:rPr>
        <w:t/>
      </w:r>
    </w:p>
    <w:p>
      <w:pPr>
        <w:pStyle w:val="ab"/>
      </w:pPr>
      <w:r>
        <w:t>发言人1 问：What changes have been noticed in the IT strategies and operational aspects?</w:t>
      </w:r>
    </w:p>
    <w:p>
      <w:r>
        <w:rPr>
          <w:rFonts w:ascii="等线(中文正文)" w:hAnsi="等线(中文正文)" w:cs="等线(中文正文)" w:eastAsia="等线(中文正文)"/>
          <w:b w:val="false"/>
          <w:i w:val="false"/>
          <w:sz w:val="20"/>
        </w:rPr>
        <w:t>发言人1 答：Recent changes in IT strategies include a focus on the gentis and enterprise solutions that leverage large language models. These developments are expected to reduce costs and make IT operations more efficient over time.</w:t>
      </w:r>
    </w:p>
    <w:p>
      <w:r>
        <w:rPr>
          <w:rFonts w:ascii="等线(中文正文)" w:hAnsi="等线(中文正文)" w:cs="等线(中文正文)" w:eastAsia="等线(中文正文)"/>
          <w:b w:val="false"/>
          <w:i w:val="false"/>
          <w:sz w:val="20"/>
        </w:rPr>
        <w:t/>
      </w:r>
    </w:p>
    <w:p>
      <w:pPr>
        <w:pStyle w:val="ab"/>
      </w:pPr>
      <w:r>
        <w:t>发言人1 问：How is technology evolution affecting the approach to IT?</w:t>
      </w:r>
    </w:p>
    <w:p>
      <w:r>
        <w:rPr>
          <w:rFonts w:ascii="等线(中文正文)" w:hAnsi="等线(中文正文)" w:cs="等线(中文正文)" w:eastAsia="等线(中文正文)"/>
          <w:b w:val="false"/>
          <w:i w:val="false"/>
          <w:sz w:val="20"/>
        </w:rPr>
        <w:t>发言人1 答：Technology evolution is requiring a shift in focus toward first-hand knowledge, as IT is changing rapidly. This has made it crucial for leaders to stay updated and engage directly with IT developments.</w:t>
      </w:r>
    </w:p>
    <w:p>
      <w:r>
        <w:rPr>
          <w:rFonts w:ascii="等线(中文正文)" w:hAnsi="等线(中文正文)" w:cs="等线(中文正文)" w:eastAsia="等线(中文正文)"/>
          <w:b w:val="false"/>
          <w:i w:val="false"/>
          <w:sz w:val="20"/>
        </w:rPr>
        <w:t/>
      </w:r>
    </w:p>
    <w:p>
      <w:pPr>
        <w:pStyle w:val="ab"/>
      </w:pPr>
      <w:r>
        <w:t>发言人1 问：What is the speaker's view on the risks associated with new technologies in the context of cyber insurance?</w:t>
      </w:r>
    </w:p>
    <w:p>
      <w:r>
        <w:rPr>
          <w:rFonts w:ascii="等线(中文正文)" w:hAnsi="等线(中文正文)" w:cs="等线(中文正文)" w:eastAsia="等线(中文正文)"/>
          <w:b w:val="false"/>
          <w:i w:val="false"/>
          <w:sz w:val="20"/>
        </w:rPr>
        <w:t>发言人1 答：The speaker believes that new technologies pose risks to cyber insurance, as they can lead to an increased frequency and severity of vulnerabilities. However, they acknowledge that tools are improving to monitor, support, identify, and fix these vulnerabilities more effectively.</w:t>
      </w:r>
    </w:p>
    <w:p>
      <w:r>
        <w:rPr>
          <w:rFonts w:ascii="等线(中文正文)" w:hAnsi="等线(中文正文)" w:cs="等线(中文正文)" w:eastAsia="等线(中文正文)"/>
          <w:b w:val="false"/>
          <w:i w:val="false"/>
          <w:sz w:val="20"/>
        </w:rPr>
        <w:t/>
      </w:r>
    </w:p>
    <w:p>
      <w:pPr>
        <w:pStyle w:val="ab"/>
      </w:pPr>
      <w:r>
        <w:t>发言人1 问：How is IT evolving in response to the changing threat landscape?</w:t>
      </w:r>
    </w:p>
    <w:p>
      <w:r>
        <w:rPr>
          <w:rFonts w:ascii="等线(中文正文)" w:hAnsi="等线(中文正文)" w:cs="等线(中文正文)" w:eastAsia="等线(中文正文)"/>
          <w:b w:val="false"/>
          <w:i w:val="false"/>
          <w:sz w:val="20"/>
        </w:rPr>
        <w:t>发言人1 答：IT is evolving in response to the changing threat landscape by becoming more automated, which allows for faster identification and patching of vulnerabilities. IT is now not just about finding vulnerabilities but also providing hydrant services to monitor and support clients in their security efforts.</w:t>
      </w:r>
    </w:p>
    <w:p>
      <w:r>
        <w:rPr>
          <w:rFonts w:ascii="等线(中文正文)" w:hAnsi="等线(中文正文)" w:cs="等线(中文正文)" w:eastAsia="等线(中文正文)"/>
          <w:b w:val="false"/>
          <w:i w:val="false"/>
          <w:sz w:val="20"/>
        </w:rPr>
        <w:t/>
      </w:r>
    </w:p>
    <w:p>
      <w:pPr>
        <w:pStyle w:val="ab"/>
      </w:pPr>
      <w:r>
        <w:t>发言人1 问：How is the insurance industry assessing risks posed by AI and cyber attacks?</w:t>
      </w:r>
    </w:p>
    <w:p>
      <w:r>
        <w:rPr>
          <w:rFonts w:ascii="等线(中文正文)" w:hAnsi="等线(中文正文)" w:cs="等线(中文正文)" w:eastAsia="等线(中文正文)"/>
          <w:b w:val="false"/>
          <w:i w:val="false"/>
          <w:sz w:val="20"/>
        </w:rPr>
        <w:t>发言人1 答：The insurance industry is assessing risks posed by AI and cyber attacks by considering factors such as the size of the company, the quality of IT hygiene and parameters in place, and the likelihood of systemic concerns. They are also mindful of middle-market companies, which have more capital but weaker IT defenses.</w:t>
      </w:r>
    </w:p>
    <w:p>
      <w:r>
        <w:rPr>
          <w:rFonts w:ascii="等线(中文正文)" w:hAnsi="等线(中文正文)" w:cs="等线(中文正文)" w:eastAsia="等线(中文正文)"/>
          <w:b w:val="false"/>
          <w:i w:val="false"/>
          <w:sz w:val="20"/>
        </w:rPr>
        <w:t/>
      </w:r>
    </w:p>
    <w:p>
      <w:pPr>
        <w:pStyle w:val="ab"/>
      </w:pPr>
      <w:r>
        <w:t>发言人1 问：What is the new business penalty, and how does it affect the eighty forty coming ratio versus retention in the speaker's businesses?</w:t>
      </w:r>
    </w:p>
    <w:p>
      <w:r>
        <w:rPr>
          <w:rFonts w:ascii="等线(中文正文)" w:hAnsi="等线(中文正文)" w:cs="等线(中文正文)" w:eastAsia="等线(中文正文)"/>
          <w:b w:val="false"/>
          <w:i w:val="false"/>
          <w:sz w:val="20"/>
        </w:rPr>
        <w:t>发言人1 答：The new business penalty refers to the potential impact on the eighty-forty (84%) retention ratio due to writing new business. The speaker's businesses have an 85% and above retention rate, and while they experienced a period with half the volume, they believe that the volume was impacted by walking away from certain business. The speaker mentions a 'new business quote penalty' but does not see much impact on their business due to underwriting discipline and the management of premium and exposure through reinsurance.</w:t>
      </w:r>
    </w:p>
    <w:p>
      <w:r>
        <w:rPr>
          <w:rFonts w:ascii="等线(中文正文)" w:hAnsi="等线(中文正文)" w:cs="等线(中文正文)" w:eastAsia="等线(中文正文)"/>
          <w:b w:val="false"/>
          <w:i w:val="false"/>
          <w:sz w:val="20"/>
        </w:rPr>
        <w:t/>
      </w:r>
    </w:p>
    <w:p>
      <w:pPr>
        <w:pStyle w:val="ab"/>
      </w:pPr>
      <w:r>
        <w:t>发言人1 问：How does the speaker view the impact of new business volume on their underwriting ratios?</w:t>
      </w:r>
    </w:p>
    <w:p>
      <w:r>
        <w:rPr>
          <w:rFonts w:ascii="等线(中文正文)" w:hAnsi="等线(中文正文)" w:cs="等线(中文正文)" w:eastAsia="等线(中文正文)"/>
          <w:b w:val="false"/>
          <w:i w:val="false"/>
          <w:sz w:val="20"/>
        </w:rPr>
        <w:t>发言人1 答：The speaker does not see much impact on their underwriting ratios despite changes in new business volume. They attribute this to maintaining underwriting discipline and focusing on the impact to combined ratio because they are only underwriting new business that they believe is inadequately priced.</w:t>
      </w:r>
    </w:p>
    <w:p>
      <w:r>
        <w:rPr>
          <w:rFonts w:ascii="等线(中文正文)" w:hAnsi="等线(中文正文)" w:cs="等线(中文正文)" w:eastAsia="等线(中文正文)"/>
          <w:b w:val="false"/>
          <w:i w:val="false"/>
          <w:sz w:val="20"/>
        </w:rPr>
        <w:t/>
      </w:r>
    </w:p>
    <w:p>
      <w:pPr>
        <w:pStyle w:val="ab"/>
      </w:pPr>
      <w:r>
        <w:t>发言人1 问：What is the expected future growth pattern for single premium business, and how does the speaker view the margin of IT?</w:t>
      </w:r>
    </w:p>
    <w:p>
      <w:r>
        <w:rPr>
          <w:rFonts w:ascii="等线(中文正文)" w:hAnsi="等线(中文正文)" w:cs="等线(中文正文)" w:eastAsia="等线(中文正文)"/>
          <w:b w:val="false"/>
          <w:i w:val="false"/>
          <w:sz w:val="20"/>
        </w:rPr>
        <w:t>发言人1 答：The speaker does not expect to see continued growth in single premium business. They believe that the return on capital for IT is brilliant but are not particularly fond of the underwriting margin of IT. The speaker anticipates more growth in regular premium and reinsurance products as they move forward in the year.</w:t>
      </w:r>
    </w:p>
    <w:p>
      <w:r>
        <w:rPr>
          <w:rFonts w:ascii="等线(中文正文)" w:hAnsi="等线(中文正文)" w:cs="等线(中文正文)" w:eastAsia="等线(中文正文)"/>
          <w:b w:val="false"/>
          <w:i w:val="false"/>
          <w:sz w:val="20"/>
        </w:rPr>
        <w:t/>
      </w:r>
    </w:p>
    <w:p>
      <w:pPr>
        <w:pStyle w:val="ab"/>
      </w:pPr>
      <w:r>
        <w:t>发言人1 问：Does the use of AI by insurance brokers to lower expenses or expand margins provide an opportunity for companies like theirs to reduce acquisition expenses?</w:t>
      </w:r>
    </w:p>
    <w:p>
      <w:r>
        <w:rPr>
          <w:rFonts w:ascii="等线(中文正文)" w:hAnsi="等线(中文正文)" w:cs="等线(中文正文)" w:eastAsia="等线(中文正文)"/>
          <w:b w:val="false"/>
          <w:i w:val="false"/>
          <w:sz w:val="20"/>
        </w:rPr>
        <w:t>发言人1 答：The use of AI by insurance brokers to manage their own expenses or expand their margins does provide an opportunity for companies like the speaker's to reduce acquisition expenses. The speaker acknowledges the industry belief in the durability of these cost reductions, which they think will be possible through technology like AI.</w:t>
      </w:r>
    </w:p>
    <w:p>
      <w:r>
        <w:rPr>
          <w:rFonts w:ascii="等线(中文正文)" w:hAnsi="等线(中文正文)" w:cs="等线(中文正文)" w:eastAsia="等线(中文正文)"/>
          <w:b w:val="false"/>
          <w:i w:val="false"/>
          <w:sz w:val="20"/>
        </w:rPr>
        <w:t/>
      </w:r>
    </w:p>
    <w:p>
      <w:pPr>
        <w:pStyle w:val="ab"/>
      </w:pPr>
      <w:r>
        <w:t>发言人1 问：Has the change in the market around private credit influenced the speaker's thinking about its role in their portfolio, and what are the trends or signs of stress in the existing book?</w:t>
      </w:r>
    </w:p>
    <w:p>
      <w:r>
        <w:rPr>
          <w:rFonts w:ascii="等线(中文正文)" w:hAnsi="等线(中文正文)" w:cs="等线(中文正文)" w:eastAsia="等线(中文正文)"/>
          <w:b w:val="false"/>
          <w:i w:val="false"/>
          <w:sz w:val="20"/>
        </w:rPr>
        <w:t>发言人1 答：The speaker's private credit exposure is less than 50% and consists of indirect lending with first lien senior security loans at the top of the capital structure. This portfolio is managed separately and is conservative, with disciplined growth and a small group of experienced managers. Despite the rapid growth of the lending sector, they have not grown their exposure and have consistently delivered strong conservative results with estimated loss experience only one-third of the broader universe. There has been no significant trend or sign of stress in the existing book.</w:t>
      </w:r>
    </w:p>
    <w:p>
      <w:r>
        <w:rPr>
          <w:rFonts w:ascii="等线(中文正文)" w:hAnsi="等线(中文正文)" w:cs="等线(中文正文)" w:eastAsia="等线(中文正文)"/>
          <w:b w:val="false"/>
          <w:i w:val="false"/>
          <w:sz w:val="20"/>
        </w:rPr>
        <w:t/>
      </w:r>
    </w:p>
    <w:p>
      <w:pPr>
        <w:pStyle w:val="ab"/>
      </w:pPr>
      <w:r>
        <w:t>发言人1 问：Does the property pricing environment suggest a shorter or longer duration for the soft cycle, and have there been any signs of deterioration in terms and conditions?</w:t>
      </w:r>
    </w:p>
    <w:p>
      <w:r>
        <w:rPr>
          <w:rFonts w:ascii="等线(中文正文)" w:hAnsi="等线(中文正文)" w:cs="等线(中文正文)" w:eastAsia="等线(中文正文)"/>
          <w:b w:val="false"/>
          <w:i w:val="false"/>
          <w:sz w:val="20"/>
        </w:rPr>
        <w:t>发言人1 答：The property pricing environment is steady, with some volatility due to the size of the transactions. The speaker believes that pricing for property is adequate and does not see any deterioration in terms and conditions that would suggest a change in the duration of the soft cycle. However, they do not have certainty about the cycle's length but have a mental model that property pricing tends to adjust promptly in response to changes.</w:t>
      </w:r>
    </w:p>
    <w:p>
      <w:r>
        <w:rPr>
          <w:rFonts w:ascii="等线(中文正文)" w:hAnsi="等线(中文正文)" w:cs="等线(中文正文)" w:eastAsia="等线(中文正文)"/>
          <w:b w:val="false"/>
          <w:i w:val="false"/>
          <w:sz w:val="20"/>
        </w:rPr>
        <w:t/>
      </w:r>
    </w:p>
    <w:p>
      <w:pPr>
        <w:pStyle w:val="ab"/>
      </w:pPr>
      <w:r>
        <w:t>发言人1 问：What is the growth rate of the worksite benefits business and its significance within the portfolio?</w:t>
      </w:r>
    </w:p>
    <w:p>
      <w:r>
        <w:rPr>
          <w:rFonts w:ascii="等线(中文正文)" w:hAnsi="等线(中文正文)" w:cs="等线(中文正文)" w:eastAsia="等线(中文正文)"/>
          <w:b w:val="false"/>
          <w:i w:val="false"/>
          <w:sz w:val="20"/>
        </w:rPr>
        <w:t>发言人1 答：The worksite benefits business has shown a 16 percent growth rate, which is considered pretty solid, especially considering it followed a similar growth from the previous year.</w:t>
      </w:r>
    </w:p>
    <w:p>
      <w:r>
        <w:rPr>
          <w:rFonts w:ascii="等线(中文正文)" w:hAnsi="等线(中文正文)" w:cs="等线(中文正文)" w:eastAsia="等线(中文正文)"/>
          <w:b w:val="false"/>
          <w:i w:val="false"/>
          <w:sz w:val="20"/>
        </w:rPr>
        <w:t/>
      </w:r>
    </w:p>
    <w:p>
      <w:pPr>
        <w:pStyle w:val="ab"/>
      </w:pPr>
      <w:r>
        <w:t>发言人1 问：How is IT strategically aligned within the broader portfolio and what are the key building blocks for scaling IT?</w:t>
      </w:r>
    </w:p>
    <w:p>
      <w:r>
        <w:rPr>
          <w:rFonts w:ascii="等线(中文正文)" w:hAnsi="等线(中文正文)" w:cs="等线(中文正文)" w:eastAsia="等线(中文正文)"/>
          <w:b w:val="false"/>
          <w:i w:val="false"/>
          <w:sz w:val="20"/>
        </w:rPr>
        <w:t>发言人1 答：IT is fundamentally part of the company's strategy and is pursued in two ways: through a retooled legacy agency force focused on small group worksite benefits and a supplemental ANH business with a different distribution for larger accounts. IT is also aligned with the company's accident and health strategy.</w:t>
      </w:r>
    </w:p>
    <w:p>
      <w:r>
        <w:rPr>
          <w:rFonts w:ascii="等线(中文正文)" w:hAnsi="等线(中文正文)" w:cs="等线(中文正文)" w:eastAsia="等线(中文正文)"/>
          <w:b w:val="false"/>
          <w:i w:val="false"/>
          <w:sz w:val="20"/>
        </w:rPr>
        <w:t/>
      </w:r>
    </w:p>
    <w:p>
      <w:pPr>
        <w:pStyle w:val="ab"/>
      </w:pPr>
      <w:r>
        <w:t>发言人1 问：What is the risk profile and growth strategy for IT's life and international life businesses?</w:t>
      </w:r>
    </w:p>
    <w:p>
      <w:r>
        <w:rPr>
          <w:rFonts w:ascii="等线(中文正文)" w:hAnsi="等线(中文正文)" w:cs="等线(中文正文)" w:eastAsia="等线(中文正文)"/>
          <w:b w:val="false"/>
          <w:i w:val="false"/>
          <w:sz w:val="20"/>
        </w:rPr>
        <w:t>发言人1 答：IT's life business and international life business focus on risk-based supplemental ANH type business, growing through agency distribution and digital distribution, as well as savings and other protection products. IT is just one part of a coherent strategy that also includes accident and health insurance, which are both growth areas for the company.</w:t>
      </w:r>
    </w:p>
    <w:p>
      <w:r>
        <w:rPr>
          <w:rFonts w:ascii="等线(中文正文)" w:hAnsi="等线(中文正文)" w:cs="等线(中文正文)" w:eastAsia="等线(中文正文)"/>
          <w:b w:val="false"/>
          <w:i w:val="false"/>
          <w:sz w:val="20"/>
        </w:rPr>
        <w:t/>
      </w:r>
    </w:p>
    <w:p>
      <w:pPr>
        <w:pStyle w:val="ab"/>
      </w:pPr>
      <w:r>
        <w:t>发言人1 问：What is the government program involving IT to support shipping in the Gulf, and what role does IT play in this initiative?</w:t>
      </w:r>
    </w:p>
    <w:p>
      <w:r>
        <w:rPr>
          <w:rFonts w:ascii="等线(中文正文)" w:hAnsi="等线(中文正文)" w:cs="等线(中文正文)" w:eastAsia="等线(中文正文)"/>
          <w:b w:val="false"/>
          <w:i w:val="false"/>
          <w:sz w:val="20"/>
        </w:rPr>
        <w:t>发言人1 答：The government approached IT to create a program that would support shipping through the Gulf under certain risk conditions, potentially involving military convoys. IT will provide insurance as a condition for participation in these convoys. The U.S. military will insure 50 percent of the risk, while the other half will be covered by an arm of the federal government.</w:t>
      </w:r>
    </w:p>
    <w:p>
      <w:r>
        <w:rPr>
          <w:rFonts w:ascii="等线(中文正文)" w:hAnsi="等线(中文正文)" w:cs="等线(中文正文)" w:eastAsia="等线(中文正文)"/>
          <w:b w:val="false"/>
          <w:i w:val="false"/>
          <w:sz w:val="20"/>
        </w:rPr>
        <w:t/>
      </w:r>
    </w:p>
    <w:p>
      <w:pPr>
        <w:pStyle w:val="ab"/>
      </w:pPr>
      <w:r>
        <w:t>发言人1 问：What opportunities does IT see for additional risk-taking in reinsurance, and how does management assess the risk-reward trade-off?</w:t>
      </w:r>
    </w:p>
    <w:p>
      <w:r>
        <w:rPr>
          <w:rFonts w:ascii="等线(中文正文)" w:hAnsi="等线(中文正文)" w:cs="等线(中文正文)" w:eastAsia="等线(中文正文)"/>
          <w:b w:val="false"/>
          <w:i w:val="false"/>
          <w:sz w:val="20"/>
        </w:rPr>
        <w:t>发言人1 答：IT sees opportunities for additional risk-taking in reinsurance, as pricing becomes marginal or inadequate. Management assesses the risk-reward trade-off and does not believe in maximizing the amount of risk taken without considering the potential return on risk. Reinsurance is one of the tools available to manage exposure.</w:t>
      </w:r>
    </w:p>
    <w:p>
      <w:r>
        <w:rPr>
          <w:rFonts w:ascii="等线(中文正文)" w:hAnsi="等线(中文正文)" w:cs="等线(中文正文)" w:eastAsia="等线(中文正文)"/>
          <w:b w:val="false"/>
          <w:i w:val="false"/>
          <w:sz w:val="20"/>
        </w:rPr>
        <w:t/>
      </w:r>
    </w:p>
    <w:p>
      <w:pPr>
        <w:pStyle w:val="ab"/>
      </w:pPr>
      <w:r>
        <w:t>发言人1 问：Are there any changes in terms and conditions within the property market that IT is seeing, and how does it impact pricing?</w:t>
      </w:r>
    </w:p>
    <w:p>
      <w:r>
        <w:rPr>
          <w:rFonts w:ascii="等线(中文正文)" w:hAnsi="等线(中文正文)" w:cs="等线(中文正文)" w:eastAsia="等线(中文正文)"/>
          <w:b w:val="false"/>
          <w:i w:val="false"/>
          <w:sz w:val="20"/>
        </w:rPr>
        <w:t>发言人1 答：IT is not seeing significant changes in terms and conditions within the property market at this point. The company values firm and condition changes and does not just adjust prices widely; changes in BI waiting periods are not considered significant at this time.</w:t>
      </w:r>
    </w:p>
    <w:p>
      <w:r>
        <w:rPr>
          <w:rFonts w:ascii="等线(中文正文)" w:hAnsi="等线(中文正文)" w:cs="等线(中文正文)" w:eastAsia="等线(中文正文)"/>
          <w:b w:val="false"/>
          <w:i w:val="false"/>
          <w:sz w:val="20"/>
        </w:rPr>
        <w:t/>
      </w:r>
    </w:p>
    <w:p>
      <w:pPr>
        <w:pStyle w:val="ab"/>
      </w:pPr>
      <w:r>
        <w:t>发言人1 问：What impact is competition from admitted markets having on IT's business, particularly in the context of property insurance?</w:t>
      </w:r>
    </w:p>
    <w:p>
      <w:r>
        <w:rPr>
          <w:rFonts w:ascii="等线(中文正文)" w:hAnsi="等线(中文正文)" w:cs="等线(中文正文)" w:eastAsia="等线(中文正文)"/>
          <w:b w:val="false"/>
          <w:i w:val="false"/>
          <w:sz w:val="20"/>
        </w:rPr>
        <w:t>发言人1 答：IT is seeing marginal competition from admitted markets so far. In the property insurance sector, there is a discipline shift from non-admitted to admitted markets, which may result in more business going back to admitted carriers. IT is positioned on the margin of the property side and is more excited about writing homeowners and flood insurance.</w:t>
      </w:r>
    </w:p>
    <w:p>
      <w:r>
        <w:rPr>
          <w:rFonts w:ascii="等线(中文正文)" w:hAnsi="等线(中文正文)" w:cs="等线(中文正文)" w:eastAsia="等线(中文正文)"/>
          <w:b w:val="false"/>
          <w:i w:val="false"/>
          <w:sz w:val="20"/>
        </w:rPr>
        <w:t/>
      </w:r>
    </w:p>
    <w:p>
      <w:pPr>
        <w:pStyle w:val="ab"/>
      </w:pPr>
      <w:r>
        <w:t>发言人1 问：What were the growth rates for Almoners pricing, international life insurance premiums, and in the North American job website benefits in the quarter?</w:t>
      </w:r>
    </w:p>
    <w:p>
      <w:r>
        <w:rPr>
          <w:rFonts w:ascii="等线(中文正文)" w:hAnsi="等线(中文正文)" w:cs="等线(中文正文)" w:eastAsia="等线(中文正文)"/>
          <w:b w:val="false"/>
          <w:i w:val="false"/>
          <w:sz w:val="20"/>
        </w:rPr>
        <w:t>发言人1 答：Almoners pricing grew by 7.7%, international life insurance premiums rose by 37%, and North American job website benefits increased by almost 16% in the quarter.</w:t>
      </w:r>
    </w:p>
    <w:p>
      <w:r>
        <w:rPr>
          <w:rFonts w:ascii="等线(中文正文)" w:hAnsi="等线(中文正文)" w:cs="等线(中文正文)" w:eastAsia="等线(中文正文)"/>
          <w:b w:val="false"/>
          <w:i w:val="false"/>
          <w:sz w:val="20"/>
        </w:rPr>
        <w:t/>
      </w:r>
    </w:p>
    <w:p>
      <w:pPr>
        <w:pStyle w:val="ab"/>
      </w:pPr>
      <w:r>
        <w:t>发言人1 问：What was the core operating return on extended equity and core operating earnings for the quarter?</w:t>
      </w:r>
    </w:p>
    <w:p>
      <w:r>
        <w:rPr>
          <w:rFonts w:ascii="等线(中文正文)" w:hAnsi="等线(中文正文)" w:cs="等线(中文正文)" w:eastAsia="等线(中文正文)"/>
          <w:b w:val="false"/>
          <w:i w:val="false"/>
          <w:sz w:val="20"/>
        </w:rPr>
        <w:t>发言人1 答：The core operating return on extended equity and core operating earnings for the quarter were 20.6% and 14%, respectively.</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