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信立泰 260421_导读</w:t>
      </w:r>
    </w:p>
    <w:p>
      <w:pPr>
        <w:pStyle w:val="a0"/>
        <w:jc w:val="center"/>
      </w:pPr>
      <w:r>
        <w:t>2026年04月25日 11:35</w:t>
      </w:r>
    </w:p>
    <w:p>
      <w:pPr>
        <w:pStyle w:val="a7"/>
      </w:pPr>
      <w:r>
        <w:t>关键词</w:t>
      </w:r>
    </w:p>
    <w:p>
      <w:r>
        <w:rPr>
          <w:rFonts w:ascii="等线(中文正文)" w:hAnsi="等线(中文正文)" w:cs="等线(中文正文)" w:eastAsia="等线(中文正文)"/>
          <w:b w:val="false"/>
          <w:i w:val="false"/>
          <w:sz w:val="20"/>
        </w:rPr>
        <w:t xml:space="preserve">新利泰 创新药 收入 增长 管线 JK06 临床 数据 集采 医保 心血管 慢病 市场 治疗 研发 适应症 生物类似物 非小细胞肺癌 ORR 安全性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创证券组织了一场关于新利泰2025年和2026年一季度业绩的电话会议，由华创医药组主持，新利泰公司高层领导出席，讨论了公司在创新药领域的快速发展，特别提到了创新产品JK06和JK07的进展，并澄清了市场传闻。公司强调发言代表个人观点，不构成官方立场，同时强调会议内容需保密，避免市场不当炒作。会议还涉及了未来增长预期、新产品开发、市场准入策略及国内外合作规划，特别是在创新疗法和基因编辑技术领域的布局。最后，公司强调投资者关系的重要性，展望了通过持续的产品创新和市场拓展实现长期稳健增长的愿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新利泰2025年报与2026年一季报业绩电话会概览</w:t>
      </w:r>
    </w:p>
    <w:p>
      <w:r>
        <w:rPr>
          <w:rFonts w:ascii="等线(中文正文)" w:hAnsi="等线(中文正文)" w:cs="等线(中文正文)" w:eastAsia="等线(中文正文)"/>
          <w:b w:val="false"/>
          <w:i w:val="false"/>
          <w:sz w:val="20"/>
        </w:rPr>
        <w:t>华创证券举办的新利泰业绩电话会上，公司高层介绍了创新药收入加速放量的趋势，特别是杰克06在AACR上展示的亮眼数据，以及杰克07的数据整理进展。会议强调了投资风险，禁止泄露敏感信息，并对未经授权复制会议内容的行为设定了法律责任。</w:t>
      </w:r>
    </w:p>
    <w:p>
      <w:r>
        <w:rPr>
          <w:rFonts w:ascii="等线(中文正文)" w:hAnsi="等线(中文正文)" w:cs="等线(中文正文)" w:eastAsia="等线(中文正文)"/>
          <w:b w:val="false"/>
          <w:i w:val="false"/>
          <w:sz w:val="20"/>
        </w:rPr>
        <w:t/>
      </w:r>
    </w:p>
    <w:p>
      <w:pPr>
        <w:pStyle w:val="ab"/>
        <w:numPr>
          <w:numId w:val="2"/>
        </w:numPr>
      </w:pPr>
      <w:r>
        <w:t>02:03 公司业绩与产品进展交流会</w:t>
      </w:r>
    </w:p>
    <w:p>
      <w:r>
        <w:rPr>
          <w:rFonts w:ascii="等线(中文正文)" w:hAnsi="等线(中文正文)" w:cs="等线(中文正文)" w:eastAsia="等线(中文正文)"/>
          <w:b w:val="false"/>
          <w:i w:val="false"/>
          <w:sz w:val="20"/>
        </w:rPr>
        <w:t>会议介绍了公司业绩及产品进展，包括一季度表现优于预期，澄清了关于ZK007的传言，强调以公司信息为准，后续将由专家团队解读JK06数据及创新管线情况。</w:t>
      </w:r>
    </w:p>
    <w:p>
      <w:r>
        <w:rPr>
          <w:rFonts w:ascii="等线(中文正文)" w:hAnsi="等线(中文正文)" w:cs="等线(中文正文)" w:eastAsia="等线(中文正文)"/>
          <w:b w:val="false"/>
          <w:i w:val="false"/>
          <w:sz w:val="20"/>
        </w:rPr>
        <w:t/>
      </w:r>
    </w:p>
    <w:p>
      <w:pPr>
        <w:pStyle w:val="ab"/>
        <w:numPr>
          <w:numId w:val="3"/>
        </w:numPr>
      </w:pPr>
      <w:r>
        <w:t>04:33 公司收入增长与创新药贡献分析</w:t>
      </w:r>
    </w:p>
    <w:p>
      <w:r>
        <w:rPr>
          <w:rFonts w:ascii="等线(中文正文)" w:hAnsi="等线(中文正文)" w:cs="等线(中文正文)" w:eastAsia="等线(中文正文)"/>
          <w:b w:val="false"/>
          <w:i w:val="false"/>
          <w:sz w:val="20"/>
        </w:rPr>
        <w:t>2025年公司收入达43.5亿，同比增长8.5%，创新药收入增速达41.3%，占比超50%。预计26年收入增长15%，创新药占比将超60%。重点产品如建议坦、安纳罗、金涛妥等收入预计增长显著，特立帕肽收入也将增加。公司计划27年收入增长25%，目标29年收入突破百亿。</w:t>
      </w:r>
    </w:p>
    <w:p>
      <w:r>
        <w:rPr>
          <w:rFonts w:ascii="等线(中文正文)" w:hAnsi="等线(中文正文)" w:cs="等线(中文正文)" w:eastAsia="等线(中文正文)"/>
          <w:b w:val="false"/>
          <w:i w:val="false"/>
          <w:sz w:val="20"/>
        </w:rPr>
        <w:t/>
      </w:r>
    </w:p>
    <w:p>
      <w:pPr>
        <w:pStyle w:val="ab"/>
        <w:numPr>
          <w:numId w:val="4"/>
        </w:numPr>
      </w:pPr>
      <w:r>
        <w:t>08:49 2025年报与2026年一季度财务状况分析</w:t>
      </w:r>
    </w:p>
    <w:p>
      <w:r>
        <w:rPr>
          <w:rFonts w:ascii="等线(中文正文)" w:hAnsi="等线(中文正文)" w:cs="等线(中文正文)" w:eastAsia="等线(中文正文)"/>
          <w:b w:val="false"/>
          <w:i w:val="false"/>
          <w:sz w:val="20"/>
        </w:rPr>
        <w:t>2025年年报显示利润6.5亿，同比增长8.3%，但扣费利润5.53亿，同比下降2.8%。毛利率75.5%，同比上升2.1%。利润增长低于收入增长，主要因研发投入和销售投入增长迅速。2026年一季度利润2.25亿，同比增长15%，超预期。研发投入12.7亿，同比增长24.5%，预计未来几年研发投入占收入比重超20%。经营活动现金流11.5亿，远超净利润，资产负债表健康。</w:t>
      </w:r>
    </w:p>
    <w:p>
      <w:r>
        <w:rPr>
          <w:rFonts w:ascii="等线(中文正文)" w:hAnsi="等线(中文正文)" w:cs="等线(中文正文)" w:eastAsia="等线(中文正文)"/>
          <w:b w:val="false"/>
          <w:i w:val="false"/>
          <w:sz w:val="20"/>
        </w:rPr>
        <w:t/>
      </w:r>
    </w:p>
    <w:p>
      <w:pPr>
        <w:pStyle w:val="ab"/>
        <w:numPr>
          <w:numId w:val="5"/>
        </w:numPr>
      </w:pPr>
      <w:r>
        <w:t>11:49 慢病管理与CPM综合症：创新药增长驱动的商业策略</w:t>
      </w:r>
    </w:p>
    <w:p>
      <w:r>
        <w:rPr>
          <w:rFonts w:ascii="等线(中文正文)" w:hAnsi="等线(中文正文)" w:cs="等线(中文正文)" w:eastAsia="等线(中文正文)"/>
          <w:b w:val="false"/>
          <w:i w:val="false"/>
          <w:sz w:val="20"/>
        </w:rPr>
        <w:t>对话聚焦于公司商业模式，以CKM慢病管理为核心，结合创新药增长驱动，形成成熟商业化网络。CPM综合症，2023年AHA提出，强调肥胖、糖尿病、慢性肾病与心血管疾病间的相互作用，提倡跨科室综合管理，应对慢病共病现象，提升治疗精准度。</w:t>
      </w:r>
    </w:p>
    <w:p>
      <w:r>
        <w:rPr>
          <w:rFonts w:ascii="等线(中文正文)" w:hAnsi="等线(中文正文)" w:cs="等线(中文正文)" w:eastAsia="等线(中文正文)"/>
          <w:b w:val="false"/>
          <w:i w:val="false"/>
          <w:sz w:val="20"/>
        </w:rPr>
        <w:t/>
      </w:r>
    </w:p>
    <w:p>
      <w:pPr>
        <w:pStyle w:val="ab"/>
        <w:numPr>
          <w:numId w:val="6"/>
        </w:numPr>
      </w:pPr>
      <w:r>
        <w:t>13:48 CTM综合征治疗新进展与市场机遇</w:t>
      </w:r>
    </w:p>
    <w:p>
      <w:r>
        <w:rPr>
          <w:rFonts w:ascii="等线(中文正文)" w:hAnsi="等线(中文正文)" w:cs="等线(中文正文)" w:eastAsia="等线(中文正文)"/>
          <w:b w:val="false"/>
          <w:i w:val="false"/>
          <w:sz w:val="20"/>
        </w:rPr>
        <w:t>对话探讨了CTM综合征的高发病率及其带来的市场机遇，强调了从单病种到多病种共管的治疗理念转变，以及构建完整产品矩阵的重要性。提及了新易泰在心血管领域28年的核心能力，以及对未满足市场需求的洞察，展示了从化学药到生物药、医疗器械的全面布局。还介绍了即将获批上市的创新产品，包括CDE已完成审查的特别怕太周之际，以及国内首个水针预充式注射器PCSK单抗，预计26年底至27年初获批，还有全球第二个心衰适应症086和三重降压机制的130复方产品，展现了公司在心血管疾病治疗领域的创新实力和市场潜力。</w:t>
      </w:r>
    </w:p>
    <w:p>
      <w:r>
        <w:rPr>
          <w:rFonts w:ascii="等线(中文正文)" w:hAnsi="等线(中文正文)" w:cs="等线(中文正文)" w:eastAsia="等线(中文正文)"/>
          <w:b w:val="false"/>
          <w:i w:val="false"/>
          <w:sz w:val="20"/>
        </w:rPr>
        <w:t/>
      </w:r>
    </w:p>
    <w:p>
      <w:pPr>
        <w:pStyle w:val="ab"/>
        <w:numPr>
          <w:numId w:val="7"/>
        </w:numPr>
      </w:pPr>
      <w:r>
        <w:t>17:21 JK06：广谱抗肿瘤活性与安全性优势</w:t>
      </w:r>
    </w:p>
    <w:p>
      <w:r>
        <w:rPr>
          <w:rFonts w:ascii="等线(中文正文)" w:hAnsi="等线(中文正文)" w:cs="等线(中文正文)" w:eastAsia="等线(中文正文)"/>
          <w:b w:val="false"/>
          <w:i w:val="false"/>
          <w:sz w:val="20"/>
        </w:rPr>
        <w:t>JK06作为一款生物创新药，在ARAACR会议中以poster形式展示了更新数据，证明了其在非小细胞肺癌、乳腺癌等领域的广谱抗肿瘤活性，尤其在难治性人群中疗效显著，如非小细胞肺癌ORR达26%，乳腺癌亦达26%。特别地，JK06在鳞状非小细胞肺癌中展现出43%的ORR，填补了该领域未被满足的临床需求。此外，采用双位点结合设计的JK06，相较于传统抗体药物，展现出更高的结合稳定性和内化效率，且安全性显著，三级及以上不良事件发生率仅为2.7%，远低于同类药物。未来，JK06的临床开发计划及BD合作正在讨论中，预计在阿斯克大会时进一步阐释开发策略。</w:t>
      </w:r>
    </w:p>
    <w:p>
      <w:r>
        <w:rPr>
          <w:rFonts w:ascii="等线(中文正文)" w:hAnsi="等线(中文正文)" w:cs="等线(中文正文)" w:eastAsia="等线(中文正文)"/>
          <w:b w:val="false"/>
          <w:i w:val="false"/>
          <w:sz w:val="20"/>
        </w:rPr>
        <w:t/>
      </w:r>
    </w:p>
    <w:p>
      <w:pPr>
        <w:pStyle w:val="ab"/>
        <w:numPr>
          <w:numId w:val="8"/>
        </w:numPr>
      </w:pPr>
      <w:r>
        <w:t>22:50 2327后高血压与肾康产品临床进展</w:t>
      </w:r>
    </w:p>
    <w:p>
      <w:r>
        <w:rPr>
          <w:rFonts w:ascii="等线(中文正文)" w:hAnsi="等线(中文正文)" w:cs="等线(中文正文)" w:eastAsia="等线(中文正文)"/>
          <w:b w:val="false"/>
          <w:i w:val="false"/>
          <w:sz w:val="20"/>
        </w:rPr>
        <w:t>介绍了2327后针对高血压与肾康产品的临床研究进展，包括S20120、SL0140及SL0132的二期临床完成情况与三期计划，强调了产品在降低水肿风险、高血压治疗及适应症扩展方面的潜力。</w:t>
      </w:r>
    </w:p>
    <w:p>
      <w:r>
        <w:rPr>
          <w:rFonts w:ascii="等线(中文正文)" w:hAnsi="等线(中文正文)" w:cs="等线(中文正文)" w:eastAsia="等线(中文正文)"/>
          <w:b w:val="false"/>
          <w:i w:val="false"/>
          <w:sz w:val="20"/>
        </w:rPr>
        <w:t/>
      </w:r>
    </w:p>
    <w:p>
      <w:pPr>
        <w:pStyle w:val="ab"/>
        <w:numPr>
          <w:numId w:val="9"/>
        </w:numPr>
      </w:pPr>
      <w:r>
        <w:t>25:35 血脂类产品布局与临床进展</w:t>
      </w:r>
    </w:p>
    <w:p>
      <w:r>
        <w:rPr>
          <w:rFonts w:ascii="等线(中文正文)" w:hAnsi="等线(中文正文)" w:cs="等线(中文正文)" w:eastAsia="等线(中文正文)"/>
          <w:b w:val="false"/>
          <w:i w:val="false"/>
          <w:sz w:val="20"/>
        </w:rPr>
        <w:t>介绍了多项血脂类产品布局及临床进展，包括PCSK nine口服小分子、LPA小分子抑制剂、体内P3基因编辑产品等，部分产品已进入临床二期，展现良好疗效与潜力。计划申报多款IND产品，涵盖PCFP nine环肽、AT one和ETA双打产品等，预计年内完成申报。此外，还有三款产品计划挑战IND，包括GPC3 ADC、抗敏药物及长效减肥抗体类药物。</w:t>
      </w:r>
    </w:p>
    <w:p>
      <w:r>
        <w:rPr>
          <w:rFonts w:ascii="等线(中文正文)" w:hAnsi="等线(中文正文)" w:cs="等线(中文正文)" w:eastAsia="等线(中文正文)"/>
          <w:b w:val="false"/>
          <w:i w:val="false"/>
          <w:sz w:val="20"/>
        </w:rPr>
        <w:t/>
      </w:r>
    </w:p>
    <w:p>
      <w:pPr>
        <w:pStyle w:val="ab"/>
        <w:numPr>
          <w:numId w:val="10"/>
        </w:numPr>
      </w:pPr>
      <w:r>
        <w:t>29:11 新地产放量节奏与市场增量分析</w:t>
      </w:r>
    </w:p>
    <w:p>
      <w:r>
        <w:rPr>
          <w:rFonts w:ascii="等线(中文正文)" w:hAnsi="等线(中文正文)" w:cs="等线(中文正文)" w:eastAsia="等线(中文正文)"/>
          <w:b w:val="false"/>
          <w:i w:val="false"/>
          <w:sz w:val="20"/>
        </w:rPr>
        <w:t>对话围绕新地产在医保降价后的放量节奏与市场增量展开。新地产作为成熟产品，虽经历降价但因其降压疗效平稳、独特优势及品牌忠诚度提升，销售持续增长。未来增量主要来源于基层医疗机构、零售药房和电商渠道的扩展，以及学术推广的加强。</w:t>
      </w:r>
    </w:p>
    <w:p>
      <w:r>
        <w:rPr>
          <w:rFonts w:ascii="等线(中文正文)" w:hAnsi="等线(中文正文)" w:cs="等线(中文正文)" w:eastAsia="等线(中文正文)"/>
          <w:b w:val="false"/>
          <w:i w:val="false"/>
          <w:sz w:val="20"/>
        </w:rPr>
        <w:t/>
      </w:r>
    </w:p>
    <w:p>
      <w:pPr>
        <w:pStyle w:val="ab"/>
        <w:numPr>
          <w:numId w:val="11"/>
        </w:numPr>
      </w:pPr>
      <w:r>
        <w:t>32:33 公司一季度业绩超预期及JK06临床数据解析</w:t>
      </w:r>
    </w:p>
    <w:p>
      <w:r>
        <w:rPr>
          <w:rFonts w:ascii="等线(中文正文)" w:hAnsi="等线(中文正文)" w:cs="等线(中文正文)" w:eastAsia="等线(中文正文)"/>
          <w:b w:val="false"/>
          <w:i w:val="false"/>
          <w:sz w:val="20"/>
        </w:rPr>
        <w:t>公司一季度业绩超出预期，主要得益于新产品增长强劲，接近七成收入来自新产品。针对JK06在ACR上的表现，不同剂量组的ORR接近，4.5毫克剂量组略好但无统计学差异。</w:t>
      </w:r>
    </w:p>
    <w:p>
      <w:r>
        <w:rPr>
          <w:rFonts w:ascii="等线(中文正文)" w:hAnsi="等线(中文正文)" w:cs="等线(中文正文)" w:eastAsia="等线(中文正文)"/>
          <w:b w:val="false"/>
          <w:i w:val="false"/>
          <w:sz w:val="20"/>
        </w:rPr>
        <w:t/>
      </w:r>
    </w:p>
    <w:p>
      <w:pPr>
        <w:pStyle w:val="ab"/>
        <w:numPr>
          <w:numId w:val="12"/>
        </w:numPr>
      </w:pPr>
      <w:r>
        <w:t>36:31 超所销售目标与难治性高血压产品进展</w:t>
      </w:r>
    </w:p>
    <w:p>
      <w:r>
        <w:rPr>
          <w:rFonts w:ascii="等线(中文正文)" w:hAnsi="等线(中文正文)" w:cs="等线(中文正文)" w:eastAsia="等线(中文正文)"/>
          <w:b w:val="false"/>
          <w:i w:val="false"/>
          <w:sz w:val="20"/>
        </w:rPr>
        <w:t>对话围绕超所今年的销售目标及难治性高血压产品进展展开。讨论了富力坦和富利安的销售预期，分别为五亿和超一亿，两者均进入医保范围，表现良好。对于120和140两款产品，120已完成入组，计划年底进入三期，初步数据显示良好趋势；140刚启动二期，预计明年进入三期，公司将保持对外授权沟通，尤其是140作为国内首个快速进入二期的产品。</w:t>
      </w:r>
    </w:p>
    <w:p>
      <w:r>
        <w:rPr>
          <w:rFonts w:ascii="等线(中文正文)" w:hAnsi="等线(中文正文)" w:cs="等线(中文正文)" w:eastAsia="等线(中文正文)"/>
          <w:b w:val="false"/>
          <w:i w:val="false"/>
          <w:sz w:val="20"/>
        </w:rPr>
        <w:t/>
      </w:r>
    </w:p>
    <w:p>
      <w:pPr>
        <w:pStyle w:val="ab"/>
        <w:numPr>
          <w:numId w:val="13"/>
        </w:numPr>
      </w:pPr>
      <w:r>
        <w:t>40:05 2029年创新药收入目标及利润率展望</w:t>
      </w:r>
    </w:p>
    <w:p>
      <w:r>
        <w:rPr>
          <w:rFonts w:ascii="等线(中文正文)" w:hAnsi="等线(中文正文)" w:cs="等线(中文正文)" w:eastAsia="等线(中文正文)"/>
          <w:b w:val="false"/>
          <w:i w:val="false"/>
          <w:sz w:val="20"/>
        </w:rPr>
        <w:t>公司预计2029年收入突破100亿，其中80%以上来自创新药，净利率有望达到20%。特立帕肽预计年销售额5至7亿，长效产品推广超预期。口服胶片通过特定技术实现长效缓解与口服吸收，安全性优势显著，后续临床开发规划及对外授权策略待进一步说明。</w:t>
      </w:r>
    </w:p>
    <w:p>
      <w:r>
        <w:rPr>
          <w:rFonts w:ascii="等线(中文正文)" w:hAnsi="等线(中文正文)" w:cs="等线(中文正文)" w:eastAsia="等线(中文正文)"/>
          <w:b w:val="false"/>
          <w:i w:val="false"/>
          <w:sz w:val="20"/>
        </w:rPr>
        <w:t/>
      </w:r>
    </w:p>
    <w:p>
      <w:pPr>
        <w:pStyle w:val="ab"/>
        <w:numPr>
          <w:numId w:val="14"/>
        </w:numPr>
      </w:pPr>
      <w:r>
        <w:t>43:39 创新前药设计提升药物疗效与稳定性</w:t>
      </w:r>
    </w:p>
    <w:p>
      <w:r>
        <w:rPr>
          <w:rFonts w:ascii="等线(中文正文)" w:hAnsi="等线(中文正文)" w:cs="等线(中文正文)" w:eastAsia="等线(中文正文)"/>
          <w:b w:val="false"/>
          <w:i w:val="false"/>
          <w:sz w:val="20"/>
        </w:rPr>
        <w:t>产品SL0150通过在下鲁肽基础上增加脂肪酸侧链，实现了体内长效释放效果，提高了生物利用度和稳定性，预期可达到一周一次的口服频率。该前药设计不仅增强了药物的疗效，还预估在临床一期中能达到预期的缓慢释放曲线。目前正申请糖尿病、天津和肥胖三个适应症，未来计划扩展更多适应症。</w:t>
      </w:r>
    </w:p>
    <w:p>
      <w:r>
        <w:rPr>
          <w:rFonts w:ascii="等线(中文正文)" w:hAnsi="等线(中文正文)" w:cs="等线(中文正文)" w:eastAsia="等线(中文正文)"/>
          <w:b w:val="false"/>
          <w:i w:val="false"/>
          <w:sz w:val="20"/>
        </w:rPr>
        <w:t/>
      </w:r>
    </w:p>
    <w:p>
      <w:pPr>
        <w:pStyle w:val="ab"/>
        <w:numPr>
          <w:numId w:val="15"/>
        </w:numPr>
      </w:pPr>
      <w:r>
        <w:t>45:34 关于JK07与高血压小分子AGT的研发进展及BD计划</w:t>
      </w:r>
    </w:p>
    <w:p>
      <w:r>
        <w:rPr>
          <w:rFonts w:ascii="等线(中文正文)" w:hAnsi="等线(中文正文)" w:cs="等线(中文正文)" w:eastAsia="等线(中文正文)"/>
          <w:b w:val="false"/>
          <w:i w:val="false"/>
          <w:sz w:val="20"/>
        </w:rPr>
        <w:t>讨论了JK07与FDA沟通的可能性及临床设计终点，预计高血压小分子AGT二期数据今年底可读出，计划推进全球BD合作。</w:t>
      </w:r>
    </w:p>
    <w:p>
      <w:r>
        <w:rPr>
          <w:rFonts w:ascii="等线(中文正文)" w:hAnsi="等线(中文正文)" w:cs="等线(中文正文)" w:eastAsia="等线(中文正文)"/>
          <w:b w:val="false"/>
          <w:i w:val="false"/>
          <w:sz w:val="20"/>
        </w:rPr>
        <w:t/>
      </w:r>
    </w:p>
    <w:p>
      <w:pPr>
        <w:pStyle w:val="ab"/>
        <w:numPr>
          <w:numId w:val="16"/>
        </w:numPr>
      </w:pPr>
      <w:r>
        <w:t>48:38 公司创新药投资策略与预期收益</w:t>
      </w:r>
    </w:p>
    <w:p>
      <w:r>
        <w:rPr>
          <w:rFonts w:ascii="等线(中文正文)" w:hAnsi="等线(中文正文)" w:cs="等线(中文正文)" w:eastAsia="等线(中文正文)"/>
          <w:b w:val="false"/>
          <w:i w:val="false"/>
          <w:sz w:val="20"/>
        </w:rPr>
        <w:t>对话围绕公司在创新药领域的股权投资展开，详细介绍了对普瑞基准和坤建创新药研究院的布局思路，强调了AI与生物学结合在新药开发中的应用及优势。同时，讨论了控股巴特勒后对收入端的提振预期，指出具体产品上市时间尚待确定，预计在27年后对医疗器械产品线产生影响。</w:t>
      </w:r>
    </w:p>
    <w:p>
      <w:r>
        <w:rPr>
          <w:rFonts w:ascii="等线(中文正文)" w:hAnsi="等线(中文正文)" w:cs="等线(中文正文)" w:eastAsia="等线(中文正文)"/>
          <w:b w:val="false"/>
          <w:i w:val="false"/>
          <w:sz w:val="20"/>
        </w:rPr>
        <w:t/>
      </w:r>
    </w:p>
    <w:p>
      <w:pPr>
        <w:pStyle w:val="ab"/>
        <w:numPr>
          <w:numId w:val="17"/>
        </w:numPr>
      </w:pPr>
      <w:r>
        <w:t>51:44 公司药物研发与联合用药计划</w:t>
      </w:r>
    </w:p>
    <w:p>
      <w:r>
        <w:rPr>
          <w:rFonts w:ascii="等线(中文正文)" w:hAnsi="等线(中文正文)" w:cs="等线(中文正文)" w:eastAsia="等线(中文正文)"/>
          <w:b w:val="false"/>
          <w:i w:val="false"/>
          <w:sz w:val="20"/>
        </w:rPr>
        <w:t>对话围绕公司药物研发进展及联合用药计划展开，详细介绍了JQ年期临床二期在基础疗法上的创新，以及与诺欣妥等药物联用的潜力。同时，阐述了PCSK9靶点下多技术路线药物的定位，包括单抗体、小分子、基因编辑等，针对不同患者群体设计的个性化治疗方案。</w:t>
      </w:r>
    </w:p>
    <w:p>
      <w:r>
        <w:rPr>
          <w:rFonts w:ascii="等线(中文正文)" w:hAnsi="等线(中文正文)" w:cs="等线(中文正文)" w:eastAsia="等线(中文正文)"/>
          <w:b w:val="false"/>
          <w:i w:val="false"/>
          <w:sz w:val="20"/>
        </w:rPr>
        <w:t/>
      </w:r>
    </w:p>
    <w:p>
      <w:pPr>
        <w:pStyle w:val="ab"/>
        <w:numPr>
          <w:numId w:val="18"/>
        </w:numPr>
      </w:pPr>
      <w:r>
        <w:t>55:57 JK07完整二期数据披露时间确认</w:t>
      </w:r>
    </w:p>
    <w:p>
      <w:r>
        <w:rPr>
          <w:rFonts w:ascii="等线(中文正文)" w:hAnsi="等线(中文正文)" w:cs="等线(中文正文)" w:eastAsia="等线(中文正文)"/>
          <w:b w:val="false"/>
          <w:i w:val="false"/>
          <w:sz w:val="20"/>
        </w:rPr>
        <w:t>对话中讨论了关于JK07项目完整二期数据的发布时间，确认将在年底完成披露。期间，部分数据已在分析中，整体临床报告计划于年底发布。参与者强调需耐心等待完整数据，同时提及已有一部分数据作为'彩蛋'提前揭晓，另一部分则需稍作等待。</w:t>
      </w:r>
    </w:p>
    <w:p>
      <w:r>
        <w:rPr>
          <w:rFonts w:ascii="等线(中文正文)" w:hAnsi="等线(中文正文)" w:cs="等线(中文正文)" w:eastAsia="等线(中文正文)"/>
          <w:b w:val="false"/>
          <w:i w:val="false"/>
          <w:sz w:val="20"/>
        </w:rPr>
        <w:t/>
      </w:r>
    </w:p>
    <w:p>
      <w:pPr>
        <w:pStyle w:val="ab"/>
        <w:numPr>
          <w:numId w:val="19"/>
        </w:numPr>
      </w:pPr>
      <w:r>
        <w:t>58:15 港股IPO进展与反馈意见处理</w:t>
      </w:r>
    </w:p>
    <w:p>
      <w:r>
        <w:rPr>
          <w:rFonts w:ascii="等线(中文正文)" w:hAnsi="等线(中文正文)" w:cs="等线(中文正文)" w:eastAsia="等线(中文正文)"/>
          <w:b w:val="false"/>
          <w:i w:val="false"/>
          <w:sz w:val="20"/>
        </w:rPr>
        <w:t>讨论了港股IPO的最新进展，指出已进入证监会和港交所反馈意见阶段，证监会意见已反馈，港交所意见将在近期处理。</w:t>
      </w:r>
    </w:p>
    <w:p>
      <w:r>
        <w:rPr>
          <w:rFonts w:ascii="等线(中文正文)" w:hAnsi="等线(中文正文)" w:cs="等线(中文正文)" w:eastAsia="等线(中文正文)"/>
          <w:b w:val="false"/>
          <w:i w:val="false"/>
          <w:sz w:val="20"/>
        </w:rPr>
        <w:t/>
      </w:r>
    </w:p>
    <w:p>
      <w:pPr>
        <w:pStyle w:val="ab"/>
        <w:numPr>
          <w:numId w:val="20"/>
        </w:numPr>
      </w:pPr>
      <w:r>
        <w:t>59:43 小核酸平台研发进展与未来布局</w:t>
      </w:r>
    </w:p>
    <w:p>
      <w:r>
        <w:rPr>
          <w:rFonts w:ascii="等线(中文正文)" w:hAnsi="等线(中文正文)" w:cs="等线(中文正文)" w:eastAsia="等线(中文正文)"/>
          <w:b w:val="false"/>
          <w:i w:val="false"/>
          <w:sz w:val="20"/>
        </w:rPr>
        <w:t>对话主要围绕小核酸平台的研发进展展开，提及单内递送平台的成熟及产品进入临床阶段，计划探索新靶点；双打方向已累积平台，预计年内PCC，明年有案例；肝脉接送系统布局肾脏和脂肪，有数据积累；抗体偶联小核酸递送进展顺利，针对肌肉和菌子激素有良好进展；AOC研发快速推进。</w:t>
      </w:r>
    </w:p>
    <w:p>
      <w:r>
        <w:rPr>
          <w:rFonts w:ascii="等线(中文正文)" w:hAnsi="等线(中文正文)" w:cs="等线(中文正文)" w:eastAsia="等线(中文正文)"/>
          <w:b w:val="false"/>
          <w:i w:val="false"/>
          <w:sz w:val="20"/>
        </w:rPr>
        <w:t/>
      </w:r>
    </w:p>
    <w:p>
      <w:pPr>
        <w:pStyle w:val="ab"/>
        <w:numPr>
          <w:numId w:val="21"/>
        </w:numPr>
      </w:pPr>
      <w:r>
        <w:t>01:01:07 公司产品线增长与费用规划分析</w:t>
      </w:r>
    </w:p>
    <w:p>
      <w:r>
        <w:rPr>
          <w:rFonts w:ascii="等线(中文正文)" w:hAnsi="等线(中文正文)" w:cs="等线(中文正文)" w:eastAsia="等线(中文正文)"/>
          <w:b w:val="false"/>
          <w:i w:val="false"/>
          <w:sz w:val="20"/>
        </w:rPr>
        <w:t>讨论了新产品线增长对毛利率的提升以及销售和研发费用的增长，预计未来几年将实现高增长，利润率在20%左右。强调了慢病领域和创新产品线的重要性，邀请持续关注与交流。</w:t>
      </w:r>
    </w:p>
    <w:p>
      <w:r>
        <w:rPr>
          <w:rFonts w:ascii="等线(中文正文)" w:hAnsi="等线(中文正文)" w:cs="等线(中文正文)" w:eastAsia="等线(中文正文)"/>
          <w:b w:val="false"/>
          <w:i w:val="false"/>
          <w:sz w:val="20"/>
        </w:rPr>
        <w:t/>
      </w:r>
    </w:p>
    <w:p>
      <w:pPr>
        <w:pStyle w:val="a7"/>
      </w:pPr>
      <w:r>
        <w:t>发言总结</w:t>
      </w:r>
    </w:p>
    <w:p>
      <w:pPr>
        <w:pStyle w:val="ab"/>
        <w:numPr>
          <w:numId w:val="22"/>
        </w:numPr>
      </w:pPr>
      <w:r>
        <w:t>发言人1</w:t>
      </w:r>
    </w:p>
    <w:p>
      <w:r>
        <w:rPr>
          <w:rFonts w:ascii="等线(中文正文)" w:hAnsi="等线(中文正文)" w:cs="等线(中文正文)" w:eastAsia="等线(中文正文)"/>
          <w:b w:val="false"/>
          <w:i w:val="false"/>
          <w:sz w:val="20"/>
        </w:rPr>
        <w:t>他强调，本次电话会议由华创证券主办，邀请新利泰的领导和专家讨论公司未来两年的业绩，强调投资需谨慎，内容不构成投资建议，公司不负责由此可能造成的损失。会议中，他特别提醒投资者关注公司公众号“思维纪要社”以获取更多信息。讨论内容包括公司业绩、产品管线、研发进展及未来发展战略，重点在于创新药的发展与临床试验进展，如JK06和JK07的临床数据及市场潜力。他指出，慢病管理和创新药对公司增长至关重要，并讨论了产品放量、新药上市规划及盈利展望。尽管面临市场竞争和政策变动，他表示公司有信心通过产品创新和市场拓展实现稳定增长，最终目标是达到百亿收入。</w:t>
      </w:r>
    </w:p>
    <w:p>
      <w:r>
        <w:rPr>
          <w:rFonts w:ascii="等线(中文正文)" w:hAnsi="等线(中文正文)" w:cs="等线(中文正文)" w:eastAsia="等线(中文正文)"/>
          <w:b w:val="false"/>
          <w:i w:val="false"/>
          <w:sz w:val="20"/>
        </w:rPr>
        <w:t/>
      </w:r>
    </w:p>
    <w:p>
      <w:pPr>
        <w:pStyle w:val="a7"/>
      </w:pPr>
      <w:r>
        <w:t>要点回顾</w:t>
      </w:r>
    </w:p>
    <w:p>
      <w:pPr>
        <w:pStyle w:val="ab"/>
      </w:pPr>
      <w:r>
        <w:t>投资者能否在会后使用华创证券提供的本次内容进行投资决策？</w:t>
      </w:r>
    </w:p>
    <w:p>
      <w:r>
        <w:rPr>
          <w:rFonts w:ascii="等线(中文正文)" w:hAnsi="等线(中文正文)" w:cs="等线(中文正文)" w:eastAsia="等线(中文正文)"/>
          <w:b w:val="false"/>
          <w:i w:val="false"/>
          <w:sz w:val="20"/>
        </w:rPr>
        <w:t>发言人1：华创证券不对使用本次内容导致的任何损失承担责任，请投资者谨慎对待并关注相关风险。</w:t>
      </w:r>
    </w:p>
    <w:p>
      <w:r>
        <w:rPr>
          <w:rFonts w:ascii="等线(中文正文)" w:hAnsi="等线(中文正文)" w:cs="等线(中文正文)" w:eastAsia="等线(中文正文)"/>
          <w:b w:val="false"/>
          <w:i w:val="false"/>
          <w:sz w:val="20"/>
        </w:rPr>
        <w:t/>
      </w:r>
    </w:p>
    <w:p>
      <w:pPr>
        <w:pStyle w:val="ab"/>
      </w:pPr>
      <w:r>
        <w:t>在本次会议上，是否允许涉及可能引发不当炒作或股价异常波动的敏感信息？</w:t>
      </w:r>
    </w:p>
    <w:p>
      <w:r>
        <w:rPr>
          <w:rFonts w:ascii="等线(中文正文)" w:hAnsi="等线(中文正文)" w:cs="等线(中文正文)" w:eastAsia="等线(中文正文)"/>
          <w:b w:val="false"/>
          <w:i w:val="false"/>
          <w:sz w:val="20"/>
        </w:rPr>
        <w:t>发言人1：本次会议内容不得涉及国家保密信息、内幕信息、未公开重大信息、商业秘密、个人隐私，也不得涉及影响社会或资本市场的言论。</w:t>
      </w:r>
    </w:p>
    <w:p>
      <w:r>
        <w:rPr>
          <w:rFonts w:ascii="等线(中文正文)" w:hAnsi="等线(中文正文)" w:cs="等线(中文正文)" w:eastAsia="等线(中文正文)"/>
          <w:b w:val="false"/>
          <w:i w:val="false"/>
          <w:sz w:val="20"/>
        </w:rPr>
        <w:t/>
      </w:r>
    </w:p>
    <w:p>
      <w:pPr>
        <w:pStyle w:val="ab"/>
      </w:pPr>
      <w:r>
        <w:t>华创证券和哪家公司共同举办了哪个业绩电话会？公司创新药收入增长趋势如何？</w:t>
      </w:r>
    </w:p>
    <w:p>
      <w:r>
        <w:rPr>
          <w:rFonts w:ascii="等线(中文正文)" w:hAnsi="等线(中文正文)" w:cs="等线(中文正文)" w:eastAsia="等线(中文正文)"/>
          <w:b w:val="false"/>
          <w:i w:val="false"/>
          <w:sz w:val="20"/>
        </w:rPr>
        <w:t>发言人1：华创证券与多家友商共同举办了新利泰2025年和2026年一季度业绩电话会。随着公司创新产品的不断获批，创新药收入呈现加速放量的趋势。</w:t>
      </w:r>
    </w:p>
    <w:p>
      <w:r>
        <w:rPr>
          <w:rFonts w:ascii="等线(中文正文)" w:hAnsi="等线(中文正文)" w:cs="等线(中文正文)" w:eastAsia="等线(中文正文)"/>
          <w:b w:val="false"/>
          <w:i w:val="false"/>
          <w:sz w:val="20"/>
        </w:rPr>
        <w:t/>
      </w:r>
    </w:p>
    <w:p>
      <w:pPr>
        <w:pStyle w:val="ab"/>
      </w:pPr>
      <w:r>
        <w:t>关于JK06的数据情况如何？董秘杨总将针对哪个方面进行开场介绍？</w:t>
      </w:r>
    </w:p>
    <w:p>
      <w:r>
        <w:rPr>
          <w:rFonts w:ascii="等线(中文正文)" w:hAnsi="等线(中文正文)" w:cs="等线(中文正文)" w:eastAsia="等线(中文正文)"/>
          <w:b w:val="false"/>
          <w:i w:val="false"/>
          <w:sz w:val="20"/>
        </w:rPr>
        <w:t>发言人1：周末JK06在AACR上披露了亮眼的数据，而JK07目前也在数据整理阶段，期待后续数据跟进。杨总将就公司经营情况进行开场介绍，并请其他领导依次做相关介绍。</w:t>
      </w:r>
    </w:p>
    <w:p>
      <w:r>
        <w:rPr>
          <w:rFonts w:ascii="等线(中文正文)" w:hAnsi="等线(中文正文)" w:cs="等线(中文正文)" w:eastAsia="等线(中文正文)"/>
          <w:b w:val="false"/>
          <w:i w:val="false"/>
          <w:sz w:val="20"/>
        </w:rPr>
        <w:t/>
      </w:r>
    </w:p>
    <w:p>
      <w:pPr>
        <w:pStyle w:val="ab"/>
      </w:pPr>
      <w:r>
        <w:t>2025年和2026年一季度公司的收入增长情况如何？</w:t>
      </w:r>
    </w:p>
    <w:p>
      <w:r>
        <w:rPr>
          <w:rFonts w:ascii="等线(中文正文)" w:hAnsi="等线(中文正文)" w:cs="等线(中文正文)" w:eastAsia="等线(中文正文)"/>
          <w:b w:val="false"/>
          <w:i w:val="false"/>
          <w:sz w:val="20"/>
        </w:rPr>
        <w:t>发言人1：2025年公司收入为43.5亿，同比增长8.5%，四季度收入同比增长10%。2026年一季度收入为12.3亿，同比增长15.7%，且全年收入预计增长15%，其中创新药收入占比超过60%。</w:t>
      </w:r>
    </w:p>
    <w:p>
      <w:r>
        <w:rPr>
          <w:rFonts w:ascii="等线(中文正文)" w:hAnsi="等线(中文正文)" w:cs="等线(中文正文)" w:eastAsia="等线(中文正文)"/>
          <w:b w:val="false"/>
          <w:i w:val="false"/>
          <w:sz w:val="20"/>
        </w:rPr>
        <w:t/>
      </w:r>
    </w:p>
    <w:p>
      <w:pPr>
        <w:pStyle w:val="ab"/>
      </w:pPr>
      <w:r>
        <w:t>对于近期流传的关于ZK007的传闻，公司有何回应？</w:t>
      </w:r>
    </w:p>
    <w:p>
      <w:r>
        <w:rPr>
          <w:rFonts w:ascii="等线(中文正文)" w:hAnsi="等线(中文正文)" w:cs="等线(中文正文)" w:eastAsia="等线(中文正文)"/>
          <w:b w:val="false"/>
          <w:i w:val="false"/>
          <w:sz w:val="20"/>
        </w:rPr>
        <w:t>发言人1：近期关于ZK007的传闻，强调公司处于数据锁库阶段，结果未知，请投资者不要相信传言，一切以公司官方信息为准。</w:t>
      </w:r>
    </w:p>
    <w:p>
      <w:r>
        <w:rPr>
          <w:rFonts w:ascii="等线(中文正文)" w:hAnsi="等线(中文正文)" w:cs="等线(中文正文)" w:eastAsia="等线(中文正文)"/>
          <w:b w:val="false"/>
          <w:i w:val="false"/>
          <w:sz w:val="20"/>
        </w:rPr>
        <w:t/>
      </w:r>
    </w:p>
    <w:p>
      <w:pPr>
        <w:pStyle w:val="ab"/>
      </w:pPr>
      <w:r>
        <w:t>公司重要产品的收入预计情况如何？</w:t>
      </w:r>
    </w:p>
    <w:p>
      <w:r>
        <w:rPr>
          <w:rFonts w:ascii="等线(中文正文)" w:hAnsi="等线(中文正文)" w:cs="等线(中文正文)" w:eastAsia="等线(中文正文)"/>
          <w:b w:val="false"/>
          <w:i w:val="false"/>
          <w:sz w:val="20"/>
        </w:rPr>
        <w:t>发言人1：主要产品如建议坦、安纳罗、金涛妥等的收入预计均有增长，其中建议坦受降价影响，但量仍持续增长，整体收入预计超过15亿；安纳罗、金涛妥等新品种收入也有所增加。</w:t>
      </w:r>
    </w:p>
    <w:p>
      <w:r>
        <w:rPr>
          <w:rFonts w:ascii="等线(中文正文)" w:hAnsi="等线(中文正文)" w:cs="等线(中文正文)" w:eastAsia="等线(中文正文)"/>
          <w:b w:val="false"/>
          <w:i w:val="false"/>
          <w:sz w:val="20"/>
        </w:rPr>
        <w:t/>
      </w:r>
    </w:p>
    <w:p>
      <w:pPr>
        <w:pStyle w:val="ab"/>
      </w:pPr>
      <w:r>
        <w:t>公司对2027年及未来的收入增长预期是怎样的？</w:t>
      </w:r>
    </w:p>
    <w:p>
      <w:r>
        <w:rPr>
          <w:rFonts w:ascii="等线(中文正文)" w:hAnsi="等线(中文正文)" w:cs="等线(中文正文)" w:eastAsia="等线(中文正文)"/>
          <w:b w:val="false"/>
          <w:i w:val="false"/>
          <w:sz w:val="20"/>
        </w:rPr>
        <w:t>发言人1：2027年公司收入增长预计在25个点左右，到2029年将冲击百亿收入门槛。</w:t>
      </w:r>
    </w:p>
    <w:p>
      <w:r>
        <w:rPr>
          <w:rFonts w:ascii="等线(中文正文)" w:hAnsi="等线(中文正文)" w:cs="等线(中文正文)" w:eastAsia="等线(中文正文)"/>
          <w:b w:val="false"/>
          <w:i w:val="false"/>
          <w:sz w:val="20"/>
        </w:rPr>
        <w:t/>
      </w:r>
    </w:p>
    <w:p>
      <w:pPr>
        <w:pStyle w:val="ab"/>
      </w:pPr>
      <w:r>
        <w:t>关于公司利润情况，尤其是研发投入和销售投入方面？</w:t>
      </w:r>
    </w:p>
    <w:p>
      <w:r>
        <w:rPr>
          <w:rFonts w:ascii="等线(中文正文)" w:hAnsi="等线(中文正文)" w:cs="等线(中文正文)" w:eastAsia="等线(中文正文)"/>
          <w:b w:val="false"/>
          <w:i w:val="false"/>
          <w:sz w:val="20"/>
        </w:rPr>
        <w:t>发言人1：2025年年报显示，公司利润6.5亿，同比增长8.3%，扣费利润5.53亿，同比下降2.8%。2026年一季度利润超预期，同比增长15%，但研发投入和销售投入快速增长导致利润增长低于收入增长。</w:t>
      </w:r>
    </w:p>
    <w:p>
      <w:r>
        <w:rPr>
          <w:rFonts w:ascii="等线(中文正文)" w:hAnsi="等线(中文正文)" w:cs="等线(中文正文)" w:eastAsia="等线(中文正文)"/>
          <w:b w:val="false"/>
          <w:i w:val="false"/>
          <w:sz w:val="20"/>
        </w:rPr>
        <w:t/>
      </w:r>
    </w:p>
    <w:p>
      <w:pPr>
        <w:pStyle w:val="ab"/>
      </w:pPr>
      <w:r>
        <w:t>公司在新产品获批、进入医保和市场推广关键时期，如何应对销售增长带来的压力？</w:t>
      </w:r>
    </w:p>
    <w:p>
      <w:r>
        <w:rPr>
          <w:rFonts w:ascii="等线(中文正文)" w:hAnsi="等线(中文正文)" w:cs="等线(中文正文)" w:eastAsia="等线(中文正文)"/>
          <w:b w:val="false"/>
          <w:i w:val="false"/>
          <w:sz w:val="20"/>
        </w:rPr>
        <w:t>发言人1：在新产品获批和进入医保的关键时期，尽管销售性增长明显，但考虑到学术推广的重要性，公司仍能接受这样的增长水平。</w:t>
      </w:r>
    </w:p>
    <w:p>
      <w:r>
        <w:rPr>
          <w:rFonts w:ascii="等线(中文正文)" w:hAnsi="等线(中文正文)" w:cs="等线(中文正文)" w:eastAsia="等线(中文正文)"/>
          <w:b w:val="false"/>
          <w:i w:val="false"/>
          <w:sz w:val="20"/>
        </w:rPr>
        <w:t/>
      </w:r>
    </w:p>
    <w:p>
      <w:pPr>
        <w:pStyle w:val="ab"/>
      </w:pPr>
      <w:r>
        <w:t>这个行业的产品质量和销售曲线有什么特点？</w:t>
      </w:r>
    </w:p>
    <w:p>
      <w:r>
        <w:rPr>
          <w:rFonts w:ascii="等线(中文正文)" w:hAnsi="等线(中文正文)" w:cs="等线(中文正文)" w:eastAsia="等线(中文正文)"/>
          <w:b w:val="false"/>
          <w:i w:val="false"/>
          <w:sz w:val="20"/>
        </w:rPr>
        <w:t>发言人1：这个行业的特点是产品增长初期可能较慢但较为稳定，并且有很长的尾部增长期。增长慢主要是由于医生对处方更换和升级需要较多临床证据支持，以及学术推广和医保渗透所需时间较长。</w:t>
      </w:r>
    </w:p>
    <w:p>
      <w:r>
        <w:rPr>
          <w:rFonts w:ascii="等线(中文正文)" w:hAnsi="等线(中文正文)" w:cs="等线(中文正文)" w:eastAsia="等线(中文正文)"/>
          <w:b w:val="false"/>
          <w:i w:val="false"/>
          <w:sz w:val="20"/>
        </w:rPr>
        <w:t/>
      </w:r>
    </w:p>
    <w:p>
      <w:pPr>
        <w:pStyle w:val="ab"/>
      </w:pPr>
      <w:r>
        <w:t>您提到的新上市产品以及未来的管线规划有哪些重点？</w:t>
      </w:r>
    </w:p>
    <w:p>
      <w:r>
        <w:rPr>
          <w:rFonts w:ascii="等线(中文正文)" w:hAnsi="等线(中文正文)" w:cs="等线(中文正文)" w:eastAsia="等线(中文正文)"/>
          <w:b w:val="false"/>
          <w:i w:val="false"/>
          <w:sz w:val="20"/>
        </w:rPr>
        <w:t>发言人1：我们近期有六个新产品和生物类似物投入市场，同时还有几个重要产品管线，例如周之际（CDE已完成，预期近期获批上市）、PCSK9单抗（预计26年底至27年初获批，为国内首个水针预充式注射器，每周给药一次）、086的心衰适应症（预计今年三季度申报NBA，是全球第二个在该领域的产品）、以及130（一种复方产品，具有三重降压机制，预计今年二季度申报NBA）。</w:t>
      </w:r>
    </w:p>
    <w:p>
      <w:r>
        <w:rPr>
          <w:rFonts w:ascii="等线(中文正文)" w:hAnsi="等线(中文正文)" w:cs="等线(中文正文)" w:eastAsia="等线(中文正文)"/>
          <w:b w:val="false"/>
          <w:i w:val="false"/>
          <w:sz w:val="20"/>
        </w:rPr>
        <w:t/>
      </w:r>
    </w:p>
    <w:p>
      <w:pPr>
        <w:pStyle w:val="ab"/>
      </w:pPr>
      <w:r>
        <w:t>能否专业解读一下公司重磅生物创新药JK06在ARAACR会议上的 poster 数据情况？</w:t>
      </w:r>
    </w:p>
    <w:p>
      <w:r>
        <w:rPr>
          <w:rFonts w:ascii="等线(中文正文)" w:hAnsi="等线(中文正文)" w:cs="等线(中文正文)" w:eastAsia="等线(中文正文)"/>
          <w:b w:val="false"/>
          <w:i w:val="false"/>
          <w:sz w:val="20"/>
        </w:rPr>
        <w:t>发言人1：JK06在正在进行的1-2期扩展研究中显示出广谱抗肿瘤活性，涵盖了非小细胞肺癌、乳腺癌等多个队列，当前临床实验仍在持续招募中。已公布的数据表明，JK06在非小细胞肺癌和乳腺癌中表现出疗效，并且在难治性人群中，尤其是在鳞状非小细胞肺癌中，其ORR达到了43%，这是一个非常引人注目的信号，可能填补此类人群未被满足的临床需求。</w:t>
      </w:r>
    </w:p>
    <w:p>
      <w:r>
        <w:rPr>
          <w:rFonts w:ascii="等线(中文正文)" w:hAnsi="等线(中文正文)" w:cs="等线(中文正文)" w:eastAsia="等线(中文正文)"/>
          <w:b w:val="false"/>
          <w:i w:val="false"/>
          <w:sz w:val="20"/>
        </w:rPr>
        <w:t/>
      </w:r>
    </w:p>
    <w:p>
      <w:pPr>
        <w:pStyle w:val="ab"/>
      </w:pPr>
      <w:r>
        <w:t>JK06在安全性方面的表现如何？</w:t>
      </w:r>
    </w:p>
    <w:p>
      <w:r>
        <w:rPr>
          <w:rFonts w:ascii="等线(中文正文)" w:hAnsi="等线(中文正文)" w:cs="等线(中文正文)" w:eastAsia="等线(中文正文)"/>
          <w:b w:val="false"/>
          <w:i w:val="false"/>
          <w:sz w:val="20"/>
        </w:rPr>
        <w:t>发言人1：相比传统的单克隆抗体药物，JK06采用双位点结合设计，具有更高的结合稳定性和内化效率，从而带来更广谱的抗肿瘤活性和更优的安全性。目前的临床数据显示，在已扩展入组的112例患者中，仅有3例发生三级治疗相关的不良事件，显示了JK06在安全性上的显著优势。</w:t>
      </w:r>
    </w:p>
    <w:p>
      <w:r>
        <w:rPr>
          <w:rFonts w:ascii="等线(中文正文)" w:hAnsi="等线(中文正文)" w:cs="等线(中文正文)" w:eastAsia="等线(中文正文)"/>
          <w:b w:val="false"/>
          <w:i w:val="false"/>
          <w:sz w:val="20"/>
        </w:rPr>
        <w:t/>
      </w:r>
    </w:p>
    <w:p>
      <w:pPr>
        <w:pStyle w:val="ab"/>
      </w:pPr>
      <w:r>
        <w:t>对于血脂类产品，公司有何布局计划？</w:t>
      </w:r>
    </w:p>
    <w:p>
      <w:r>
        <w:rPr>
          <w:rFonts w:ascii="等线(中文正文)" w:hAnsi="等线(中文正文)" w:cs="等线(中文正文)" w:eastAsia="等线(中文正文)"/>
          <w:b w:val="false"/>
          <w:i w:val="false"/>
          <w:sz w:val="20"/>
        </w:rPr>
        <w:t>发言人1：公司在血脂领域进行了广泛布局，包括S10139（PCSK9口服小分子抑制剂），目前临床一期已完成部分入组，计划今年三季度进入临床二期；C10137（LPA小分子抑制剂）已开始MAD入组，期待三季度进入临床二期；S1061是中国首个实现PCSK9基因编辑申报IND的产品，目前正在进行第二例患者的给药；此外，还有GLP-1受体激动剂等其他血脂类产品在临床研发阶段。</w:t>
      </w:r>
    </w:p>
    <w:p>
      <w:r>
        <w:rPr>
          <w:rFonts w:ascii="等线(中文正文)" w:hAnsi="等线(中文正文)" w:cs="等线(中文正文)" w:eastAsia="等线(中文正文)"/>
          <w:b w:val="false"/>
          <w:i w:val="false"/>
          <w:sz w:val="20"/>
        </w:rPr>
        <w:t/>
      </w:r>
    </w:p>
    <w:p>
      <w:pPr>
        <w:pStyle w:val="ab"/>
      </w:pPr>
      <w:r>
        <w:t>新地产今年的放量节奏以及主要增量市场和发力场景是什么？</w:t>
      </w:r>
    </w:p>
    <w:p>
      <w:r>
        <w:rPr>
          <w:rFonts w:ascii="等线(中文正文)" w:hAnsi="等线(中文正文)" w:cs="等线(中文正文)" w:eastAsia="等线(中文正文)"/>
          <w:b w:val="false"/>
          <w:i w:val="false"/>
          <w:sz w:val="20"/>
        </w:rPr>
        <w:t>发言人1：新地产作为成熟且广泛应用的高血压产品，今年在降价后可及性增强，销售保持持续增长。增量主要来源于城市基层医疗机构和县域扩张，同时零售药房和电商销售规模也会有大幅度提升。对于未来放量节奏，公司预期今年会保持合理增长。</w:t>
      </w:r>
    </w:p>
    <w:p>
      <w:r>
        <w:rPr>
          <w:rFonts w:ascii="等线(中文正文)" w:hAnsi="等线(中文正文)" w:cs="等线(中文正文)" w:eastAsia="等线(中文正文)"/>
          <w:b w:val="false"/>
          <w:i w:val="false"/>
          <w:sz w:val="20"/>
        </w:rPr>
        <w:t/>
      </w:r>
    </w:p>
    <w:p>
      <w:pPr>
        <w:pStyle w:val="ab"/>
      </w:pPr>
      <w:r>
        <w:t>Q1业绩略超预期的原因及新产品表现如何？</w:t>
      </w:r>
    </w:p>
    <w:p>
      <w:r>
        <w:rPr>
          <w:rFonts w:ascii="等线(中文正文)" w:hAnsi="等线(中文正文)" w:cs="等线(中文正文)" w:eastAsia="等线(中文正文)"/>
          <w:b w:val="false"/>
          <w:i w:val="false"/>
          <w:sz w:val="20"/>
        </w:rPr>
        <w:t>发言人1：Q1业绩超出预期主要归因于新产品的表现，而非老品种。仿制药板块受带量采购政策影响，整体呈现减量趋势，而新产品增长强劲，其中约7亿的销售额来自于新产品。具体到老品种贡献，未提供详细数据，新产品将成为未来高成长的重要驱动力。</w:t>
      </w:r>
    </w:p>
    <w:p>
      <w:r>
        <w:rPr>
          <w:rFonts w:ascii="等线(中文正文)" w:hAnsi="等线(中文正文)" w:cs="等线(中文正文)" w:eastAsia="等线(中文正文)"/>
          <w:b w:val="false"/>
          <w:i w:val="false"/>
          <w:sz w:val="20"/>
        </w:rPr>
        <w:t/>
      </w:r>
    </w:p>
    <w:p>
      <w:pPr>
        <w:pStyle w:val="ab"/>
      </w:pPr>
      <w:r>
        <w:t>JK06在ACR会议上关于ORR数据的统计情况和剂量组差异？</w:t>
      </w:r>
    </w:p>
    <w:p>
      <w:r>
        <w:rPr>
          <w:rFonts w:ascii="等线(中文正文)" w:hAnsi="等线(中文正文)" w:cs="等线(中文正文)" w:eastAsia="等线(中文正文)"/>
          <w:b w:val="false"/>
          <w:i w:val="false"/>
          <w:sz w:val="20"/>
        </w:rPr>
        <w:t>发言人1：在公司提供的瀑布图中，不同剂量组的数据有所展示。主要扩展的两个剂量组在ORR上接近，4.5毫克剂量组稍好一些，但没有统计学差异。数据表明，这两个剂量组之间没有明显差距。</w:t>
      </w:r>
    </w:p>
    <w:p>
      <w:r>
        <w:rPr>
          <w:rFonts w:ascii="等线(中文正文)" w:hAnsi="等线(中文正文)" w:cs="等线(中文正文)" w:eastAsia="等线(中文正文)"/>
          <w:b w:val="false"/>
          <w:i w:val="false"/>
          <w:sz w:val="20"/>
        </w:rPr>
        <w:t/>
      </w:r>
    </w:p>
    <w:p>
      <w:pPr>
        <w:pStyle w:val="ab"/>
      </w:pPr>
      <w:r>
        <w:t>对于富利坦和富利安的销售目标及难治性高血压相关产品的后续计划？</w:t>
      </w:r>
    </w:p>
    <w:p>
      <w:r>
        <w:rPr>
          <w:rFonts w:ascii="等线(中文正文)" w:hAnsi="等线(中文正文)" w:cs="等线(中文正文)" w:eastAsia="等线(中文正文)"/>
          <w:b w:val="false"/>
          <w:i w:val="false"/>
          <w:sz w:val="20"/>
        </w:rPr>
        <w:t>发言人1：富利坦作为一个强效降压单片复方制剂，市场准入状况良好，第一季度投资增长率高，今年保持较高预期，目标达到5亿销售额。富利安则因其独特组合制剂的特点，预期销售额为1亿。对于未受控高血压产品120和140，目前进展顺利，预计年底前进入三期临床试验，并计划在合适的场合公开初步数据。同时，140产品因其快速进展和国内领先地位，有对外授权的预期。</w:t>
      </w:r>
    </w:p>
    <w:p>
      <w:r>
        <w:rPr>
          <w:rFonts w:ascii="等线(中文正文)" w:hAnsi="等线(中文正文)" w:cs="等线(中文正文)" w:eastAsia="等线(中文正文)"/>
          <w:b w:val="false"/>
          <w:i w:val="false"/>
          <w:sz w:val="20"/>
        </w:rPr>
        <w:t/>
      </w:r>
    </w:p>
    <w:p>
      <w:pPr>
        <w:pStyle w:val="ab"/>
      </w:pPr>
      <w:r>
        <w:t>当公司在2029年实现100亿收入时，创新药收入占比预计能达到何种水平？以及口服长效缓释胶片项目的临床开发规划和授权计划？</w:t>
      </w:r>
    </w:p>
    <w:p>
      <w:r>
        <w:rPr>
          <w:rFonts w:ascii="等线(中文正文)" w:hAnsi="等线(中文正文)" w:cs="等线(中文正文)" w:eastAsia="等线(中文正文)"/>
          <w:b w:val="false"/>
          <w:i w:val="false"/>
          <w:sz w:val="20"/>
        </w:rPr>
        <w:t>发言人1：关于2029年突破100亿收入时创新药收入占比的情况，以及口服长效缓释胶片项目的具体临床开发规划和授权计划，该部分未提供明确答案，建议关注相关进展和公告。</w:t>
      </w:r>
    </w:p>
    <w:p>
      <w:r>
        <w:rPr>
          <w:rFonts w:ascii="等线(中文正文)" w:hAnsi="等线(中文正文)" w:cs="等线(中文正文)" w:eastAsia="等线(中文正文)"/>
          <w:b w:val="false"/>
          <w:i w:val="false"/>
          <w:sz w:val="20"/>
        </w:rPr>
        <w:t/>
      </w:r>
    </w:p>
    <w:p>
      <w:pPr>
        <w:pStyle w:val="ab"/>
      </w:pPr>
      <w:r>
        <w:t>公司现在的经营状况如何，仿制药和创新药的销售情况怎样？公司未来的销售目标是多少？预计会来自哪些产品？</w:t>
      </w:r>
    </w:p>
    <w:p>
      <w:r>
        <w:rPr>
          <w:rFonts w:ascii="等线(中文正文)" w:hAnsi="等线(中文正文)" w:cs="等线(中文正文)" w:eastAsia="等线(中文正文)"/>
          <w:b w:val="false"/>
          <w:i w:val="false"/>
          <w:sz w:val="20"/>
        </w:rPr>
        <w:t>发言人1：目前仿制药的销售大概还有个十个亿左右，蓟县那边去年三个多亿，今年预计会达到四来亿。除了仿制药，我们还有创新药的销售，特别怕开那边也有几个亿。到2029年，我们预计今年增长到25到30之间，明年进入25到30的增长状态。后续我们可以算得到公司到达100亿的目标，其中80%以上会来自于创新药。仿制药的增长已经相对有限，器械虽然还在增长但规模有限。对于新产品，特立帕肽这边我们预计5到7个亿的机会较大，因为它长效产品很快会获批，并且推广效果比预期要好。</w:t>
      </w:r>
    </w:p>
    <w:p>
      <w:r>
        <w:rPr>
          <w:rFonts w:ascii="等线(中文正文)" w:hAnsi="等线(中文正文)" w:cs="等线(中文正文)" w:eastAsia="等线(中文正文)"/>
          <w:b w:val="false"/>
          <w:i w:val="false"/>
          <w:sz w:val="20"/>
        </w:rPr>
        <w:t/>
      </w:r>
    </w:p>
    <w:p>
      <w:pPr>
        <w:pStyle w:val="ab"/>
      </w:pPr>
      <w:r>
        <w:t>SL0150这个产品有什么独特设计和优势？</w:t>
      </w:r>
    </w:p>
    <w:p>
      <w:r>
        <w:rPr>
          <w:rFonts w:ascii="等线(中文正文)" w:hAnsi="等线(中文正文)" w:cs="等线(中文正文)" w:eastAsia="等线(中文正文)"/>
          <w:b w:val="false"/>
          <w:i w:val="false"/>
          <w:sz w:val="20"/>
        </w:rPr>
        <w:t>发言人1：SL0150产品通过巧妙的前药设计，在下鲁肽基础上添加了强烈脂肪酸侧链，实现了原型缓慢释放和圆形在PHC环境下水解的双重效果，从而达到体内更长效的效果。此外，前药设计增强了产品的稳定性，提高了生物利用度，制剂调整后使其生物硬度比现有美格鲁肽高两倍以上，整体设计实现了口服一周一次的特点。前药本身也有一定活性，与原型结合能形成前期缓慢疾病的效果，加上原型本身的疗效加成，在同等剂量下预估比现有产品有更好的疗效。</w:t>
      </w:r>
    </w:p>
    <w:p>
      <w:r>
        <w:rPr>
          <w:rFonts w:ascii="等线(中文正文)" w:hAnsi="等线(中文正文)" w:cs="等线(中文正文)" w:eastAsia="等线(中文正文)"/>
          <w:b w:val="false"/>
          <w:i w:val="false"/>
          <w:sz w:val="20"/>
        </w:rPr>
        <w:t/>
      </w:r>
    </w:p>
    <w:p>
      <w:pPr>
        <w:pStyle w:val="ab"/>
      </w:pPr>
      <w:r>
        <w:t>关于JK07项目，FDA对于慢病审批的要求是什么样的？以及关于高血压小分子AGT二期数据读出时间点和是否有BD计划？</w:t>
      </w:r>
    </w:p>
    <w:p>
      <w:r>
        <w:rPr>
          <w:rFonts w:ascii="等线(中文正文)" w:hAnsi="等线(中文正文)" w:cs="等线(中文正文)" w:eastAsia="等线(中文正文)"/>
          <w:b w:val="false"/>
          <w:i w:val="false"/>
          <w:sz w:val="20"/>
        </w:rPr>
        <w:t>发言人1：对于JK07项目，现阶段我们未与FDA沟通过，但国内外上市要求较为趋同。临床二期尚未完成，需拿到52周完整数据后才会与FDA沟通。至于高血压小分子AGT，二期数据预计今年底会有读出，至于是否推进关键注册临床试验及使用的终点设计，我们将基于二期结果与FDA进一步沟通。关于全球合作和BD计划，我们正在积极沟通并基于全球合作考虑未来利用数据。</w:t>
      </w:r>
    </w:p>
    <w:p>
      <w:r>
        <w:rPr>
          <w:rFonts w:ascii="等线(中文正文)" w:hAnsi="等线(中文正文)" w:cs="等线(中文正文)" w:eastAsia="等线(中文正文)"/>
          <w:b w:val="false"/>
          <w:i w:val="false"/>
          <w:sz w:val="20"/>
        </w:rPr>
        <w:t/>
      </w:r>
    </w:p>
    <w:p>
      <w:pPr>
        <w:pStyle w:val="ab"/>
      </w:pPr>
      <w:r>
        <w:t>公司在创新药股权投资方面，对普瑞基准和坤建创新药研究院有何布局思路和管线看点？以及控股巴特勒后对收入端提振预期是多少？</w:t>
      </w:r>
    </w:p>
    <w:p>
      <w:r>
        <w:rPr>
          <w:rFonts w:ascii="等线(中文正文)" w:hAnsi="等线(中文正文)" w:cs="等线(中文正文)" w:eastAsia="等线(中文正文)"/>
          <w:b w:val="false"/>
          <w:i w:val="false"/>
          <w:sz w:val="20"/>
        </w:rPr>
        <w:t>发言人1：公司对普瑞基准的布局是因为其专注于生物学AI方向，运用AI驱动进行多组学数据挖掘，有助于新药开发。该公司在靶点开发评估、适应症选择和创新药标志物发现等方面有独特优势，且其在生物学加AI领域的布局有助于公司创新药的靶点和临床开发决策，以及多肽药物的设计。而对于巴特勒的预期，预计2027年会有产品贡献，但对风控方面的产品线，尤其是器械类产品线的影响，会在产品出来后再做进一步沟通。</w:t>
      </w:r>
    </w:p>
    <w:p>
      <w:r>
        <w:rPr>
          <w:rFonts w:ascii="等线(中文正文)" w:hAnsi="等线(中文正文)" w:cs="等线(中文正文)" w:eastAsia="等线(中文正文)"/>
          <w:b w:val="false"/>
          <w:i w:val="false"/>
          <w:sz w:val="20"/>
        </w:rPr>
        <w:t/>
      </w:r>
    </w:p>
    <w:p>
      <w:pPr>
        <w:pStyle w:val="ab"/>
      </w:pPr>
      <w:r>
        <w:t>关于健翔07后续联合疗法的开展计划以及PCSK9靶点上多个技术路线管线的定位问题？</w:t>
      </w:r>
    </w:p>
    <w:p>
      <w:r>
        <w:rPr>
          <w:rFonts w:ascii="等线(中文正文)" w:hAnsi="等线(中文正文)" w:cs="等线(中文正文)" w:eastAsia="等线(中文正文)"/>
          <w:b w:val="false"/>
          <w:i w:val="false"/>
          <w:sz w:val="20"/>
        </w:rPr>
        <w:t>发言人1：健翔07的临床二期是在基础疗法上叠加了多项技术疗法，如ACERARB、阿里变态数据组织G、MRA和SLT two等，针对不同人群进行效果提升。对于联合疗法，我们会关注基础治疗患者的用药组合分析，判断未来的联合潜力。在PCSK9靶点上，公司布局了单抗体、小分子、基因编辑和环保等多种技术路线，我们会在今日或临床前的数据上持续积累研究基础，并根据机制研究指导临床设计，未来也会不断拓展相关研究。</w:t>
      </w:r>
    </w:p>
    <w:p>
      <w:r>
        <w:rPr>
          <w:rFonts w:ascii="等线(中文正文)" w:hAnsi="等线(中文正文)" w:cs="等线(中文正文)" w:eastAsia="等线(中文正文)"/>
          <w:b w:val="false"/>
          <w:i w:val="false"/>
          <w:sz w:val="20"/>
        </w:rPr>
        <w:t/>
      </w:r>
    </w:p>
    <w:p>
      <w:pPr>
        <w:pStyle w:val="ab"/>
      </w:pPr>
      <w:r>
        <w:t>在PCSKI方面，你们进行了大量布局，能否具体谈谈针对高血脂患者的情况以及每款药物的特点和适用人群？</w:t>
      </w:r>
    </w:p>
    <w:p>
      <w:r>
        <w:rPr>
          <w:rFonts w:ascii="等线(中文正文)" w:hAnsi="等线(中文正文)" w:cs="等线(中文正文)" w:eastAsia="等线(中文正文)"/>
          <w:b w:val="false"/>
          <w:i w:val="false"/>
          <w:sz w:val="20"/>
        </w:rPr>
        <w:t>发言人1：当前中国的高血脂发病率确实很高，超过30%。我们公司有几款药物在不同阶段满足市场对血脂药物的需求。例如，SL003是一款月注射一次的水针药物，预计快速上市后可应用于急需单独降脂的人群，并且与现有药物联合使用也有优势。另外，061属于注射一次终身有效的药物，更适合用于确诊的日常预防性干预及高家族性高胆固醇血症患者。</w:t>
      </w:r>
    </w:p>
    <w:p>
      <w:r>
        <w:rPr>
          <w:rFonts w:ascii="等线(中文正文)" w:hAnsi="等线(中文正文)" w:cs="等线(中文正文)" w:eastAsia="等线(中文正文)"/>
          <w:b w:val="false"/>
          <w:i w:val="false"/>
          <w:sz w:val="20"/>
        </w:rPr>
        <w:t/>
      </w:r>
    </w:p>
    <w:p>
      <w:pPr>
        <w:pStyle w:val="ab"/>
      </w:pPr>
      <w:r>
        <w:t>关于167环肽，由于其为环肽类药物，口服用药与其它药物联用时是否会有限制？未来有何规划？</w:t>
      </w:r>
    </w:p>
    <w:p>
      <w:r>
        <w:rPr>
          <w:rFonts w:ascii="等线(中文正文)" w:hAnsi="等线(中文正文)" w:cs="等线(中文正文)" w:eastAsia="等线(中文正文)"/>
          <w:b w:val="false"/>
          <w:i w:val="false"/>
          <w:sz w:val="20"/>
        </w:rPr>
        <w:t>发言人1：由于167环肽毕竟是环肽类药物，可能存在与其它药物联用时的局限性，我们更倾向于将其作为单用或与降脂药物联合的方案。考虑到一九的接受度高且DDI风险低，未来可能会考虑将其做成联用配方。</w:t>
      </w:r>
    </w:p>
    <w:p>
      <w:r>
        <w:rPr>
          <w:rFonts w:ascii="等线(中文正文)" w:hAnsi="等线(中文正文)" w:cs="等线(中文正文)" w:eastAsia="等线(中文正文)"/>
          <w:b w:val="false"/>
          <w:i w:val="false"/>
          <w:sz w:val="20"/>
        </w:rPr>
        <w:t/>
      </w:r>
    </w:p>
    <w:p>
      <w:pPr>
        <w:pStyle w:val="ab"/>
      </w:pPr>
      <w:r>
        <w:t>针对JK07项目的完整二期数据发布时间和披露节点是什么？</w:t>
      </w:r>
    </w:p>
    <w:p>
      <w:r>
        <w:rPr>
          <w:rFonts w:ascii="等线(中文正文)" w:hAnsi="等线(中文正文)" w:cs="等线(中文正文)" w:eastAsia="等线(中文正文)"/>
          <w:b w:val="false"/>
          <w:i w:val="false"/>
          <w:sz w:val="20"/>
        </w:rPr>
        <w:t>发言人1：完整的数据读出预计在今年年底，与之前交流的时间点大致一致。部分数据将在三月份锁库后，在四月底或五月初开始读取，而整个二期临床报告则在年底发布。产品有两次数据读取机会，分别是部分数据和全部数据的分析结果，具体情况还需耐心等待。</w:t>
      </w:r>
    </w:p>
    <w:p>
      <w:r>
        <w:rPr>
          <w:rFonts w:ascii="等线(中文正文)" w:hAnsi="等线(中文正文)" w:cs="等线(中文正文)" w:eastAsia="等线(中文正文)"/>
          <w:b w:val="false"/>
          <w:i w:val="false"/>
          <w:sz w:val="20"/>
        </w:rPr>
        <w:t/>
      </w:r>
    </w:p>
    <w:p>
      <w:pPr>
        <w:pStyle w:val="ab"/>
      </w:pPr>
      <w:r>
        <w:t>港股IPO的最新进展情况如何？</w:t>
      </w:r>
    </w:p>
    <w:p>
      <w:r>
        <w:rPr>
          <w:rFonts w:ascii="等线(中文正文)" w:hAnsi="等线(中文正文)" w:cs="等线(中文正文)" w:eastAsia="等线(中文正文)"/>
          <w:b w:val="false"/>
          <w:i w:val="false"/>
          <w:sz w:val="20"/>
        </w:rPr>
        <w:t>发言人1：我们已在春节前提交了申请，并在3月份获得了中国证监会受理。目前处于反馈意见阶段，已向证监会国际部提交了反馈，并将在近期向港交所反馈意见。</w:t>
      </w:r>
    </w:p>
    <w:p>
      <w:r>
        <w:rPr>
          <w:rFonts w:ascii="等线(中文正文)" w:hAnsi="等线(中文正文)" w:cs="等线(中文正文)" w:eastAsia="等线(中文正文)"/>
          <w:b w:val="false"/>
          <w:i w:val="false"/>
          <w:sz w:val="20"/>
        </w:rPr>
        <w:t/>
      </w:r>
    </w:p>
    <w:p>
      <w:pPr>
        <w:pStyle w:val="ab"/>
      </w:pPr>
      <w:r>
        <w:t>关于小核酸平台的发展状况以及早期管线的储备情况？</w:t>
      </w:r>
    </w:p>
    <w:p>
      <w:r>
        <w:rPr>
          <w:rFonts w:ascii="等线(中文正文)" w:hAnsi="等线(中文正文)" w:cs="等线(中文正文)" w:eastAsia="等线(中文正文)"/>
          <w:b w:val="false"/>
          <w:i w:val="false"/>
          <w:sz w:val="20"/>
        </w:rPr>
        <w:t>发言人1：目前，单内递送平台已经非常成熟，有一款产品进入一期临床试验，另一款即将进入二期临床试验。接下来的方向是针对更新靶点进行布局，并针对双打方向已经积累了平台，预计今年能获得PCC，明年有望有案例。此外，已在肾脏和脂肪肝脉接送系统上有数据积累，并且抗体偶联小核酸递送方面进展顺利，在肌肉和激素领域也取得了一定突破。</w:t>
      </w:r>
    </w:p>
    <w:p>
      <w:r>
        <w:rPr>
          <w:rFonts w:ascii="等线(中文正文)" w:hAnsi="等线(中文正文)" w:cs="等线(中文正文)" w:eastAsia="等线(中文正文)"/>
          <w:b w:val="false"/>
          <w:i w:val="false"/>
          <w:sz w:val="20"/>
        </w:rPr>
        <w:t/>
      </w:r>
    </w:p>
    <w:p>
      <w:pPr>
        <w:pStyle w:val="ab"/>
      </w:pPr>
      <w:r>
        <w:t>新产品带来的毛利率提升如何影响销售费用、研发费用以及整体费用规划和利润情况？</w:t>
      </w:r>
    </w:p>
    <w:p>
      <w:r>
        <w:rPr>
          <w:rFonts w:ascii="等线(中文正文)" w:hAnsi="等线(中文正文)" w:cs="等线(中文正文)" w:eastAsia="等线(中文正文)"/>
          <w:b w:val="false"/>
          <w:i w:val="false"/>
          <w:sz w:val="20"/>
        </w:rPr>
        <w:t>发言人1：新产品初期投入较大，但随着起量慢，后续增长会相对稳定，长尾效应将充分显现。目前已有五个独家产品进入医保目录，在不同阶段推广。预计今年增长至少25%，明年增长预计在25%-30%，并且在2029年实现100亿目标，利润率届时会达到20%左右。</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