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艾力斯 260423_导读</w:t>
      </w:r>
    </w:p>
    <w:p>
      <w:pPr>
        <w:pStyle w:val="a0"/>
        <w:jc w:val="center"/>
      </w:pPr>
      <w:r>
        <w:t>2026年04月24日 08:50</w:t>
      </w:r>
    </w:p>
    <w:p>
      <w:pPr>
        <w:pStyle w:val="a7"/>
      </w:pPr>
      <w:r>
        <w:t>关键词</w:t>
      </w:r>
    </w:p>
    <w:p>
      <w:r>
        <w:rPr>
          <w:rFonts w:ascii="等线(中文正文)" w:hAnsi="等线(中文正文)" w:cs="等线(中文正文)" w:eastAsia="等线(中文正文)"/>
          <w:b w:val="false"/>
          <w:i w:val="false"/>
          <w:sz w:val="20"/>
        </w:rPr>
        <w:t xml:space="preserve">爱丽丝 福美替尼 格莱雷塞 普拉提尼 业绩增长 医保 销售团队 研发 注册临床 二线治疗 一线治疗 辅助治疗 脑转移 胰腺癌 实体瘤 分红方案 肺癌 创新药 PFS 奥西替尼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公司在2025年年报及2026年一季度业绩报告中，展示了其在产品收入与研发管线上的显著进展，尤其是富美提尼、格莱萨雷赛、普拉提尼等产品的带动下，业绩实现了强劲增长，一季度净利润同比跃升超过50%，超出市场预期。公司持续超越市场预期，并在研发领域保持领先地位，通过邀请管理层和券商参与交流，深入探讨了未来研发的潜力。此外，管理层针对投资者关于产品营销、海外市场拓展、销售费用及利润分享的提问进行了详细解答，凸显了公司在推动核心产品市场放量、加速管线进展以及深化国际合作方面的策略。展望未来，公司强调了对产品线扩展和联合疗法潜力的关注，体现了其对持续创新及全球市场战略的坚定承诺。</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爱丽丝2025年报及2026年一季报业绩交流会</w:t>
      </w:r>
    </w:p>
    <w:p>
      <w:r>
        <w:rPr>
          <w:rFonts w:ascii="等线(中文正文)" w:hAnsi="等线(中文正文)" w:cs="等线(中文正文)" w:eastAsia="等线(中文正文)"/>
          <w:b w:val="false"/>
          <w:i w:val="false"/>
          <w:sz w:val="20"/>
        </w:rPr>
        <w:t>爱丽丝在2025年年报及2026年一季报中展现了稳健增长，富美提尼业绩稳步上升，格莱萨雷赛获批上市，普拉提尼加速地产化，推动公司净利润同比超过50%增长，超出市场预期。管理层强调了研发管线的持续进展，包括二线适应证获批及更多分子进入临床，期待未来继续超预期表现。会议由董秘主持，邀请了多位管理层参与，吸引了多家券商线上参与交流。</w:t>
      </w:r>
    </w:p>
    <w:p>
      <w:r>
        <w:rPr>
          <w:rFonts w:ascii="等线(中文正文)" w:hAnsi="等线(中文正文)" w:cs="等线(中文正文)" w:eastAsia="等线(中文正文)"/>
          <w:b w:val="false"/>
          <w:i w:val="false"/>
          <w:sz w:val="20"/>
        </w:rPr>
        <w:t/>
      </w:r>
    </w:p>
    <w:p>
      <w:pPr>
        <w:pStyle w:val="ab"/>
        <w:numPr>
          <w:numId w:val="2"/>
        </w:numPr>
      </w:pPr>
      <w:r>
        <w:t>02:03 公司2025-2026年业绩与研发进展汇报</w:t>
      </w:r>
    </w:p>
    <w:p>
      <w:r>
        <w:rPr>
          <w:rFonts w:ascii="等线(中文正文)" w:hAnsi="等线(中文正文)" w:cs="等线(中文正文)" w:eastAsia="等线(中文正文)"/>
          <w:b w:val="false"/>
          <w:i w:val="false"/>
          <w:sz w:val="20"/>
        </w:rPr>
        <w:t>汇报了公司2025年及2026年一季度业绩增长情况，强调产品销售放量、费用管控与研发投入增加。提及伏美替尼和格莱雷塞临床进展，以及大分子研发团队组建。宣布2025年度分红方案，计划2026年中期分红。</w:t>
      </w:r>
    </w:p>
    <w:p>
      <w:r>
        <w:rPr>
          <w:rFonts w:ascii="等线(中文正文)" w:hAnsi="等线(中文正文)" w:cs="等线(中文正文)" w:eastAsia="等线(中文正文)"/>
          <w:b w:val="false"/>
          <w:i w:val="false"/>
          <w:sz w:val="20"/>
        </w:rPr>
        <w:t/>
      </w:r>
    </w:p>
    <w:p>
      <w:pPr>
        <w:pStyle w:val="ab"/>
        <w:numPr>
          <w:numId w:val="3"/>
        </w:numPr>
      </w:pPr>
      <w:r>
        <w:t>06:21 公司业绩超预期与福美替尼销售展望</w:t>
      </w:r>
    </w:p>
    <w:p>
      <w:r>
        <w:rPr>
          <w:rFonts w:ascii="等线(中文正文)" w:hAnsi="等线(中文正文)" w:cs="等线(中文正文)" w:eastAsia="等线(中文正文)"/>
          <w:b w:val="false"/>
          <w:i w:val="false"/>
          <w:sz w:val="20"/>
        </w:rPr>
        <w:t>讨论了公司Q1业绩超预期的主要推动因素，包括福美替尼疗效优异、医院准入扩大、营销团队能力提升及新适应症获批带来的增长。预计福美替尼未来增长趋势将持续，销售费用及利润分享策略未详细说明。</w:t>
      </w:r>
    </w:p>
    <w:p>
      <w:r>
        <w:rPr>
          <w:rFonts w:ascii="等线(中文正文)" w:hAnsi="等线(中文正文)" w:cs="等线(中文正文)" w:eastAsia="等线(中文正文)"/>
          <w:b w:val="false"/>
          <w:i w:val="false"/>
          <w:sz w:val="20"/>
        </w:rPr>
        <w:t/>
      </w:r>
    </w:p>
    <w:p>
      <w:pPr>
        <w:pStyle w:val="ab"/>
        <w:numPr>
          <w:numId w:val="4"/>
        </w:numPr>
      </w:pPr>
      <w:r>
        <w:t>10:19 富美替尼海外临床进展与商业化策略</w:t>
      </w:r>
    </w:p>
    <w:p>
      <w:r>
        <w:rPr>
          <w:rFonts w:ascii="等线(中文正文)" w:hAnsi="等线(中文正文)" w:cs="等线(中文正文)" w:eastAsia="等线(中文正文)"/>
          <w:b w:val="false"/>
          <w:i w:val="false"/>
          <w:sz w:val="20"/>
        </w:rPr>
        <w:t>对话围绕富美替尼在海外的临床开发进展及未来商业化策略展开。讨论了20插入一线注册临床研究的全球同步开展情况，预计在2027年左右于中国、美国、日本、欧盟等地陆续获批。公司正积极筹备海外商业化，包括建立团队、招聘关键人员，并计划在美国获批后立即投入市场，同时在其他市场探索最佳推广方式，与具有国际推广经验的合作方合作。对产品获批后的商业化前景充满信心。</w:t>
      </w:r>
    </w:p>
    <w:p>
      <w:r>
        <w:rPr>
          <w:rFonts w:ascii="等线(中文正文)" w:hAnsi="等线(中文正文)" w:cs="等线(中文正文)" w:eastAsia="等线(中文正文)"/>
          <w:b w:val="false"/>
          <w:i w:val="false"/>
          <w:sz w:val="20"/>
        </w:rPr>
        <w:t/>
      </w:r>
    </w:p>
    <w:p>
      <w:pPr>
        <w:pStyle w:val="ab"/>
        <w:numPr>
          <w:numId w:val="5"/>
        </w:numPr>
      </w:pPr>
      <w:r>
        <w:t>14:48 格莱雷塞医保后销售趋势及KRAS G12C突变率讨论</w:t>
      </w:r>
    </w:p>
    <w:p>
      <w:r>
        <w:rPr>
          <w:rFonts w:ascii="等线(中文正文)" w:hAnsi="等线(中文正文)" w:cs="等线(中文正文)" w:eastAsia="等线(中文正文)"/>
          <w:b w:val="false"/>
          <w:i w:val="false"/>
          <w:sz w:val="20"/>
        </w:rPr>
        <w:t>对话讨论了格莱雷塞自纳入国家医保后销售趋势良好，新病人入住增长显著，公司上调年度销售预期。同时，针对KRAS G12C突变率，指出中国突变率低于欧美，但随着NGS检测推广，未来突变率可能提升。</w:t>
      </w:r>
    </w:p>
    <w:p>
      <w:r>
        <w:rPr>
          <w:rFonts w:ascii="等线(中文正文)" w:hAnsi="等线(中文正文)" w:cs="等线(中文正文)" w:eastAsia="等线(中文正文)"/>
          <w:b w:val="false"/>
          <w:i w:val="false"/>
          <w:sz w:val="20"/>
        </w:rPr>
        <w:t/>
      </w:r>
    </w:p>
    <w:p>
      <w:pPr>
        <w:pStyle w:val="ab"/>
        <w:numPr>
          <w:numId w:val="6"/>
        </w:numPr>
      </w:pPr>
      <w:r>
        <w:t>17:15 公司创新药管线布局与研发策略</w:t>
      </w:r>
    </w:p>
    <w:p>
      <w:r>
        <w:rPr>
          <w:rFonts w:ascii="等线(中文正文)" w:hAnsi="等线(中文正文)" w:cs="等线(中文正文)" w:eastAsia="等线(中文正文)"/>
          <w:b w:val="false"/>
          <w:i w:val="false"/>
          <w:sz w:val="20"/>
        </w:rPr>
        <w:t>会议中，某公司分享了其在肺癌领域的创新药管线布局，强调研发策略聚焦于临床未满足需求、机制靶点差异、产品协同及全球开发潜力。介绍了涵盖大分子药物如双抗、ADC、TCE及细胞因子，以及小分子药物如EGF、DDR靶向制剂等的研发进展。同时，公司正通过BD策略补充管线，注重项目质量而非数量，未来将适时公告符合信息披露条件的项目。</w:t>
      </w:r>
    </w:p>
    <w:p>
      <w:r>
        <w:rPr>
          <w:rFonts w:ascii="等线(中文正文)" w:hAnsi="等线(中文正文)" w:cs="等线(中文正文)" w:eastAsia="等线(中文正文)"/>
          <w:b w:val="false"/>
          <w:i w:val="false"/>
          <w:sz w:val="20"/>
        </w:rPr>
        <w:t/>
      </w:r>
    </w:p>
    <w:p>
      <w:pPr>
        <w:pStyle w:val="ab"/>
        <w:numPr>
          <w:numId w:val="7"/>
        </w:numPr>
      </w:pPr>
      <w:r>
        <w:t>20:08 海外临床实验进展与派突变治疗成果分享</w:t>
      </w:r>
    </w:p>
    <w:p>
      <w:r>
        <w:rPr>
          <w:rFonts w:ascii="等线(中文正文)" w:hAnsi="等线(中文正文)" w:cs="等线(中文正文)" w:eastAsia="等线(中文正文)"/>
          <w:b w:val="false"/>
          <w:i w:val="false"/>
          <w:sz w:val="20"/>
        </w:rPr>
        <w:t>对话围绕海外临床实验的进展和派突变治疗的最新成果展开。公司详细介绍了针对派突变的一线注册临床研究，包括在中国和海外的入组情况，以及与现有治疗方法相比，新药物在缓解率、PFS和安全性方面的显著优势。强调了新药物对派突变的全覆盖和高缓解率，特别是在240毫克治疗组中达到的16个月PFS，以及较低的副反应率，展现了对项目成功的高度信心。</w:t>
      </w:r>
    </w:p>
    <w:p>
      <w:r>
        <w:rPr>
          <w:rFonts w:ascii="等线(中文正文)" w:hAnsi="等线(中文正文)" w:cs="等线(中文正文)" w:eastAsia="等线(中文正文)"/>
          <w:b w:val="false"/>
          <w:i w:val="false"/>
          <w:sz w:val="20"/>
        </w:rPr>
        <w:t/>
      </w:r>
    </w:p>
    <w:p>
      <w:pPr>
        <w:pStyle w:val="ab"/>
        <w:numPr>
          <w:numId w:val="8"/>
        </w:numPr>
      </w:pPr>
      <w:r>
        <w:t>26:22 爱丽丝公司毛利率波动及未来展望</w:t>
      </w:r>
    </w:p>
    <w:p>
      <w:r>
        <w:rPr>
          <w:rFonts w:ascii="等线(中文正文)" w:hAnsi="等线(中文正文)" w:cs="等线(中文正文)" w:eastAsia="等线(中文正文)"/>
          <w:b w:val="false"/>
          <w:i w:val="false"/>
          <w:sz w:val="20"/>
        </w:rPr>
        <w:t>针对一季度毛利率轻微下滑问题，管理层解释称主要由医保续约降价及新产品委外加工成本较高导致。预计未来两年毛利率将维持在95%左右，公司将继续优化供应链，提升盈利能力，市场对爱丽丝保持高度信心。</w:t>
      </w:r>
    </w:p>
    <w:p>
      <w:r>
        <w:rPr>
          <w:rFonts w:ascii="等线(中文正文)" w:hAnsi="等线(中文正文)" w:cs="等线(中文正文)" w:eastAsia="等线(中文正文)"/>
          <w:b w:val="false"/>
          <w:i w:val="false"/>
          <w:sz w:val="20"/>
        </w:rPr>
        <w:t/>
      </w:r>
    </w:p>
    <w:p>
      <w:pPr>
        <w:pStyle w:val="ab"/>
        <w:numPr>
          <w:numId w:val="9"/>
        </w:numPr>
      </w:pPr>
      <w:r>
        <w:t>29:29 福美替尼新适应症及联合用药开发进展</w:t>
      </w:r>
    </w:p>
    <w:p>
      <w:r>
        <w:rPr>
          <w:rFonts w:ascii="等线(中文正文)" w:hAnsi="等线(中文正文)" w:cs="等线(中文正文)" w:eastAsia="等线(中文正文)"/>
          <w:b w:val="false"/>
          <w:i w:val="false"/>
          <w:sz w:val="20"/>
        </w:rPr>
        <w:t>对话围绕福美替尼新适应症的注册审批进展和联合用药开发策略展开。介绍了针对敏感突变和非敏感突变术后辅助的全球唯一注册临床研究，以及脑转移患者联合化疗的快速入组情况。强调了联合用药需满足未满足临床需求，基于科学依据和机制互补，与内部产品和外部优秀公司合作，优先开发联合用药，未来将及时汇报相关数据进展。</w:t>
      </w:r>
    </w:p>
    <w:p>
      <w:r>
        <w:rPr>
          <w:rFonts w:ascii="等线(中文正文)" w:hAnsi="等线(中文正文)" w:cs="等线(中文正文)" w:eastAsia="等线(中文正文)"/>
          <w:b w:val="false"/>
          <w:i w:val="false"/>
          <w:sz w:val="20"/>
        </w:rPr>
        <w:t/>
      </w:r>
    </w:p>
    <w:p>
      <w:pPr>
        <w:pStyle w:val="ab"/>
        <w:numPr>
          <w:numId w:val="10"/>
        </w:numPr>
      </w:pPr>
      <w:r>
        <w:t>34:15 爱丽丝公司ADC管线开发进展及战略规划</w:t>
      </w:r>
    </w:p>
    <w:p>
      <w:r>
        <w:rPr>
          <w:rFonts w:ascii="等线(中文正文)" w:hAnsi="等线(中文正文)" w:cs="等线(中文正文)" w:eastAsia="等线(中文正文)"/>
          <w:b w:val="false"/>
          <w:i w:val="false"/>
          <w:sz w:val="20"/>
        </w:rPr>
        <w:t>对话围绕爱丽丝公司ADC管线的开发进展展开，介绍了2024年启动的大分子研发部优先开发ABC项目的情况，包括靶点筛选、安全性考量及临床前试验成果。公司预计2023年三季度中美同步申报IND，明年年初有更多项目进入申报阶段。未来开发策略将关注药物安全性、疗效及联合用药潜力，同时强调核心产品增长、研发项目推进及国际合作，以实现长期价值。</w:t>
      </w:r>
    </w:p>
    <w:p>
      <w:r>
        <w:rPr>
          <w:rFonts w:ascii="等线(中文正文)" w:hAnsi="等线(中文正文)" w:cs="等线(中文正文)" w:eastAsia="等线(中文正文)"/>
          <w:b w:val="false"/>
          <w:i w:val="false"/>
          <w:sz w:val="20"/>
        </w:rPr>
        <w:t/>
      </w:r>
    </w:p>
    <w:p>
      <w:pPr>
        <w:pStyle w:val="a7"/>
      </w:pPr>
      <w:r>
        <w:t>发言总结</w:t>
      </w:r>
    </w:p>
    <w:p>
      <w:pPr>
        <w:pStyle w:val="ab"/>
        <w:numPr>
          <w:numId w:val="11"/>
        </w:numPr>
      </w:pPr>
      <w:r>
        <w:t>发言人1</w:t>
      </w:r>
    </w:p>
    <w:p>
      <w:r>
        <w:rPr>
          <w:rFonts w:ascii="等线(中文正文)" w:hAnsi="等线(中文正文)" w:cs="等线(中文正文)" w:eastAsia="等线(中文正文)"/>
          <w:b w:val="false"/>
          <w:i w:val="false"/>
          <w:sz w:val="20"/>
        </w:rPr>
        <w:t>首先对参加2025年年报和2026年一季报业绩交流会的人员表示欢迎，强调了公司在过去一年里在产品收入和研发管线上的显著进展。特别提到富美提尼在2025年业绩稳步上升，并在2026年一季度实现净利润同比增长超过50%，超过市场预期，显示出公司持续超市场预期的业绩增长。发言人对后续的研发计划，如福美缇尼二线适应证的批准和更多分子进入临床试验表示乐观。发言人还介绍了公司管理层团队，并感谢券商和投资者的参与。随后，概述了公司的财务业绩、销售策略、产品线进展和研发投资。最后，发言人表达了公司对未来的信心，强调公司将依靠产品临床价值、商业化能力和持续价值兑现来实现长期增长，并感谢参与交流的各方。</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问：对于格莱雷塞和普拉提尼这两个产品，它们目前的研发进度和市场前景如何？</w:t>
      </w:r>
    </w:p>
    <w:p>
      <w:r>
        <w:rPr>
          <w:rFonts w:ascii="等线(中文正文)" w:hAnsi="等线(中文正文)" w:cs="等线(中文正文)" w:eastAsia="等线(中文正文)"/>
          <w:b w:val="false"/>
          <w:i w:val="false"/>
          <w:sz w:val="20"/>
        </w:rPr>
        <w:t>发言人1 答：格莱雷塞非小细胞肺癌二线治疗适应症已于2025年5月获得CDE批准上市，且用于治疗胰腺癌及其他实体瘤的研究也正在积极推进中。普拉提尼作为小分子药物，其海外开发已进入三期注册临床阶段，其中针对EGFR非经典突变的辅助治疗的三期临床试验已完成首例海外患者的入组工作。随着这些产品的进一步开发和市场推广，有望进一步提升公司整体业绩。</w:t>
      </w:r>
    </w:p>
    <w:p>
      <w:r>
        <w:rPr>
          <w:rFonts w:ascii="等线(中文正文)" w:hAnsi="等线(中文正文)" w:cs="等线(中文正文)" w:eastAsia="等线(中文正文)"/>
          <w:b w:val="false"/>
          <w:i w:val="false"/>
          <w:sz w:val="20"/>
        </w:rPr>
        <w:t/>
      </w:r>
    </w:p>
    <w:p>
      <w:pPr>
        <w:pStyle w:val="ab"/>
      </w:pPr>
      <w:r>
        <w:t>发言人1 问：关于福美替尼，您能否提供一些关于其销售情况及未来预期的见解？</w:t>
      </w:r>
    </w:p>
    <w:p>
      <w:r>
        <w:rPr>
          <w:rFonts w:ascii="等线(中文正文)" w:hAnsi="等线(中文正文)" w:cs="等线(中文正文)" w:eastAsia="等线(中文正文)"/>
          <w:b w:val="false"/>
          <w:i w:val="false"/>
          <w:sz w:val="20"/>
        </w:rPr>
        <w:t>发言人1 答：福美替尼在2026年2月针对20万选子二线治疗的适应症已获批上市。此外，针对其他适应症（如辅助治疗、一线治疗等）的注册临床试验正在顺利进行中。对于福美替尼的最终销售预测，我们正配合相关机构快速推进海外临床及上市工作，并将持续关注其市场表现和竞争地位。</w:t>
      </w:r>
    </w:p>
    <w:p>
      <w:r>
        <w:rPr>
          <w:rFonts w:ascii="等线(中文正文)" w:hAnsi="等线(中文正文)" w:cs="等线(中文正文)" w:eastAsia="等线(中文正文)"/>
          <w:b w:val="false"/>
          <w:i w:val="false"/>
          <w:sz w:val="20"/>
        </w:rPr>
        <w:t/>
      </w:r>
    </w:p>
    <w:p>
      <w:pPr>
        <w:pStyle w:val="ab"/>
      </w:pPr>
      <w:r>
        <w:t>发言人1 问：首先，能否请您分享一下关于公司2025年全年和2026年一季度的业绩情况？能否详细说明一下推动公司业绩增长的主要因素？</w:t>
      </w:r>
    </w:p>
    <w:p>
      <w:r>
        <w:rPr>
          <w:rFonts w:ascii="等线(中文正文)" w:hAnsi="等线(中文正文)" w:cs="等线(中文正文)" w:eastAsia="等线(中文正文)"/>
          <w:b w:val="false"/>
          <w:i w:val="false"/>
          <w:sz w:val="20"/>
        </w:rPr>
        <w:t>发言人1 答：当然，2025年公司实现了营业收入51.87亿元，同比增长45.80%。扣除非经常性损益前后净利润分别为21.89亿元和20.22亿元，分别同比增长53.10%和48.54%。而在2026年一季度，公司收入15.84亿元，同比增长44.19%，扣除非经常性损益前后净利润分别为6.36亿元和6.33亿元，分别同比增长54.94%和59.86%。这些增长主要得益于产品销售的持续放量，尤其是三个核心产品纳入医保报销后带来的销售收入显著增加。同时，公司加强费用管控，降本增效效果明显。业绩增长的关键因素包括：1）伏美替尼的市场表现优异，且其疗效得到越来越多专家的认可，在晚期肺癌市场占有率中，富美提尼已逐步领先；2）医院准入团队持续扩大，销售渠道更加畅通，结合区域双通道药房，为销售业绩增长奠定了坚实基础；3）营销团队不断扩展下沉市场布局，目前在规模、专业能力和系统化管理方面已取得显著进步，为后续增长提供了有力支持。</w:t>
      </w:r>
    </w:p>
    <w:p>
      <w:r>
        <w:rPr>
          <w:rFonts w:ascii="等线(中文正文)" w:hAnsi="等线(中文正文)" w:cs="等线(中文正文)" w:eastAsia="等线(中文正文)"/>
          <w:b w:val="false"/>
          <w:i w:val="false"/>
          <w:sz w:val="20"/>
        </w:rPr>
        <w:t/>
      </w:r>
    </w:p>
    <w:p>
      <w:pPr>
        <w:pStyle w:val="ab"/>
      </w:pPr>
      <w:r>
        <w:t>发言人1 问：公司今年在销售费用、利润分享以及分红方案方面有何规划？</w:t>
      </w:r>
    </w:p>
    <w:p>
      <w:r>
        <w:rPr>
          <w:rFonts w:ascii="等线(中文正文)" w:hAnsi="等线(中文正文)" w:cs="等线(中文正文)" w:eastAsia="等线(中文正文)"/>
          <w:b w:val="false"/>
          <w:i w:val="false"/>
          <w:sz w:val="20"/>
        </w:rPr>
        <w:t>发言人1 答：公司高度重视研发投入，2025年研发投入同比增长12.09%，而2026年一季度销售费用率和管理费用率均有下降。关于分红方案，公司已通过年度董事会审议，实施了每10股分红6元的方案，并将根据2026年的表现考虑进行中期分红。</w:t>
      </w:r>
    </w:p>
    <w:p>
      <w:r>
        <w:rPr>
          <w:rFonts w:ascii="等线(中文正文)" w:hAnsi="等线(中文正文)" w:cs="等线(中文正文)" w:eastAsia="等线(中文正文)"/>
          <w:b w:val="false"/>
          <w:i w:val="false"/>
          <w:sz w:val="20"/>
        </w:rPr>
        <w:t/>
      </w:r>
    </w:p>
    <w:p>
      <w:pPr>
        <w:pStyle w:val="ab"/>
      </w:pPr>
      <w:r>
        <w:t>发言人1 问：二次插入适应症获批后，在二次插入的市场中，我们是否看到了显著的增长？</w:t>
      </w:r>
    </w:p>
    <w:p>
      <w:r>
        <w:rPr>
          <w:rFonts w:ascii="等线(中文正文)" w:hAnsi="等线(中文正文)" w:cs="等线(中文正文)" w:eastAsia="等线(中文正文)"/>
          <w:b w:val="false"/>
          <w:i w:val="false"/>
          <w:sz w:val="20"/>
        </w:rPr>
        <w:t>发言人1 答：是的，自二次插入适应症获批以来，我们在该领域的业务确实取得了很好的增长，因为患者对靶向治疗的需求旺盛，且市场上优质产品较少。此外，POS和red新纳入医保后，这两个产品的快速放量也对Q1整体营收有所帮助。</w:t>
      </w:r>
    </w:p>
    <w:p>
      <w:r>
        <w:rPr>
          <w:rFonts w:ascii="等线(中文正文)" w:hAnsi="等线(中文正文)" w:cs="等线(中文正文)" w:eastAsia="等线(中文正文)"/>
          <w:b w:val="false"/>
          <w:i w:val="false"/>
          <w:sz w:val="20"/>
        </w:rPr>
        <w:t/>
      </w:r>
    </w:p>
    <w:p>
      <w:pPr>
        <w:pStyle w:val="ab"/>
      </w:pPr>
      <w:r>
        <w:t>发言人1 问：对于全年销售展望，有哪些因素会影响公司的销售情况？</w:t>
      </w:r>
    </w:p>
    <w:p>
      <w:r>
        <w:rPr>
          <w:rFonts w:ascii="等线(中文正文)" w:hAnsi="等线(中文正文)" w:cs="等线(中文正文)" w:eastAsia="等线(中文正文)"/>
          <w:b w:val="false"/>
          <w:i w:val="false"/>
          <w:sz w:val="20"/>
        </w:rPr>
        <w:t>发言人1 答：全年销售展望方面，多个正面因素将推动销售增长。首先，大陆获批后的一线数据以及即将公布辅助数据都表明福美婷的增长趋势将持续相当长时间。另外，我们还有PACC和脑转移等注册临床研究项目开展，预计今年销售将呈现快速增长趋势。</w:t>
      </w:r>
    </w:p>
    <w:p>
      <w:r>
        <w:rPr>
          <w:rFonts w:ascii="等线(中文正文)" w:hAnsi="等线(中文正文)" w:cs="等线(中文正文)" w:eastAsia="等线(中文正文)"/>
          <w:b w:val="false"/>
          <w:i w:val="false"/>
          <w:sz w:val="20"/>
        </w:rPr>
        <w:t/>
      </w:r>
    </w:p>
    <w:p>
      <w:pPr>
        <w:pStyle w:val="ab"/>
      </w:pPr>
      <w:r>
        <w:t>发言人1 问：公司在海外商业化方面与合作伙伴是否有交流，特别是针对富美替尼在海外的注册三期进展？</w:t>
      </w:r>
    </w:p>
    <w:p>
      <w:r>
        <w:rPr>
          <w:rFonts w:ascii="等线(中文正文)" w:hAnsi="等线(中文正文)" w:cs="等线(中文正文)" w:eastAsia="等线(中文正文)"/>
          <w:b w:val="false"/>
          <w:i w:val="false"/>
          <w:sz w:val="20"/>
        </w:rPr>
        <w:t>发言人1 答：富美替尼在全球范围内有三个注册临床研究项目，包括二次插入一线、type一线以及非敏感突变辅助。其中，二次插入一线的研究进展较为关键，目前处于后期随访阶段，并预计在今年年终达到所有事件数，相关数据将在WCRC会议上公布。公司会在事件数满足条件后及时公告，并计划在2027年上半年中国率先获批，随后在全球其他主要市场陆续获批。</w:t>
      </w:r>
    </w:p>
    <w:p>
      <w:r>
        <w:rPr>
          <w:rFonts w:ascii="等线(中文正文)" w:hAnsi="等线(中文正文)" w:cs="等线(中文正文)" w:eastAsia="等线(中文正文)"/>
          <w:b w:val="false"/>
          <w:i w:val="false"/>
          <w:sz w:val="20"/>
        </w:rPr>
        <w:t/>
      </w:r>
    </w:p>
    <w:p>
      <w:pPr>
        <w:pStyle w:val="ab"/>
      </w:pPr>
      <w:r>
        <w:t>发言人1 问：富美替尼在国内和海外的商业化策略是怎样的？</w:t>
      </w:r>
    </w:p>
    <w:p>
      <w:r>
        <w:rPr>
          <w:rFonts w:ascii="等线(中文正文)" w:hAnsi="等线(中文正文)" w:cs="等线(中文正文)" w:eastAsia="等线(中文正文)"/>
          <w:b w:val="false"/>
          <w:i w:val="false"/>
          <w:sz w:val="20"/>
        </w:rPr>
        <w:t>发言人1 答：国内方面，我们已经成功商业化并期待20插入一线的注册临床研究结果。一旦数据读出达到预期，将立即与合作伙伴riman完成申报流程，在中国、美国、欧盟和日本等地同步推进。海外方面，Jr land正在积极筹备获批后的商业化推广，已建立专门团队并在关键岗位招聘到位，一旦获批将立即投入市场。</w:t>
      </w:r>
    </w:p>
    <w:p>
      <w:r>
        <w:rPr>
          <w:rFonts w:ascii="等线(中文正文)" w:hAnsi="等线(中文正文)" w:cs="等线(中文正文)" w:eastAsia="等线(中文正文)"/>
          <w:b w:val="false"/>
          <w:i w:val="false"/>
          <w:sz w:val="20"/>
        </w:rPr>
        <w:t/>
      </w:r>
    </w:p>
    <w:p>
      <w:pPr>
        <w:pStyle w:val="ab"/>
      </w:pPr>
      <w:r>
        <w:t>发言人1 问：对于今年格列美替尼在医保后的销售发展趋势及真实世界突变率感受如何？</w:t>
      </w:r>
    </w:p>
    <w:p>
      <w:r>
        <w:rPr>
          <w:rFonts w:ascii="等线(中文正文)" w:hAnsi="等线(中文正文)" w:cs="等线(中文正文)" w:eastAsia="等线(中文正文)"/>
          <w:b w:val="false"/>
          <w:i w:val="false"/>
          <w:sz w:val="20"/>
        </w:rPr>
        <w:t>发言人1 答：格列美替尼自今年1月1日纳入国家医保二线后，销售趋势良好。二线PFS和安全性数据优异，上市半年以来市场推广迅速，新病人的入组数量在医保阶段比自费阶段增长了三倍以上。今年我们已上调了格莱美替尼的销售预估。关于突变率问题，Q2 72C靶点的实际突变率与市场上公布的比例一致，随着NGS检测的推进，未来整体K2T72次在肺癌方面的突变率可能会有小幅提升。</w:t>
      </w:r>
    </w:p>
    <w:p>
      <w:r>
        <w:rPr>
          <w:rFonts w:ascii="等线(中文正文)" w:hAnsi="等线(中文正文)" w:cs="等线(中文正文)" w:eastAsia="等线(中文正文)"/>
          <w:b w:val="false"/>
          <w:i w:val="false"/>
          <w:sz w:val="20"/>
        </w:rPr>
        <w:t/>
      </w:r>
    </w:p>
    <w:p>
      <w:pPr>
        <w:pStyle w:val="ab"/>
      </w:pPr>
      <w:r>
        <w:t>发言人1 问：公司接下来新的创新管线有哪些变化？</w:t>
      </w:r>
    </w:p>
    <w:p>
      <w:r>
        <w:rPr>
          <w:rFonts w:ascii="等线(中文正文)" w:hAnsi="等线(中文正文)" w:cs="等线(中文正文)" w:eastAsia="等线(中文正文)"/>
          <w:b w:val="false"/>
          <w:i w:val="false"/>
          <w:sz w:val="20"/>
        </w:rPr>
        <w:t>发言人1 答：公司目前仍围绕肺癌领域布局新管线，研发策略聚焦差异化和临床转化价值。在管线构建上考虑四个维度：临床未满足的需求明确性、靶点潜在差异化潜力、与公司现有产品和商业化能力的协同效应以及全球开发潜力。公司多个创新药项目正按计划推进，覆盖临床早期至临床后期阶段。在大分子药物方面，除了双抗、单抗外，还积极开发新型pillow及双pillow技术，并拓展到ADC、TCE、细胞因子等领域。小分子研发方面，深化EGF和KRAS等适应症，拓展至DDR、表观遗传学等相关靶点，以及针对难成药靶点开发共价抑制剂、环肽抑制剂、降解剂等新药形式。</w:t>
      </w:r>
    </w:p>
    <w:p>
      <w:r>
        <w:rPr>
          <w:rFonts w:ascii="等线(中文正文)" w:hAnsi="等线(中文正文)" w:cs="等线(中文正文)" w:eastAsia="等线(中文正文)"/>
          <w:b w:val="false"/>
          <w:i w:val="false"/>
          <w:sz w:val="20"/>
        </w:rPr>
        <w:t/>
      </w:r>
    </w:p>
    <w:p>
      <w:pPr>
        <w:pStyle w:val="ab"/>
      </w:pPr>
      <w:r>
        <w:t>发言人1 问：公司在海外市场的注册临床试验情况如何？</w:t>
      </w:r>
    </w:p>
    <w:p>
      <w:r>
        <w:rPr>
          <w:rFonts w:ascii="等线(中文正文)" w:hAnsi="等线(中文正文)" w:cs="等线(中文正文)" w:eastAsia="等线(中文正文)"/>
          <w:b w:val="false"/>
          <w:i w:val="false"/>
          <w:sz w:val="20"/>
        </w:rPr>
        <w:t>发言人1 答：公司在海外有三个注册临床试验在开展，其中针对20插入一线的注册临床进展顺利。关于您提到的PC突变一线临床研究，中国已率先启动并快速入组中，海外也已实现患者入组，具体数量不便透露。该研究对比二代TKI和化疗，以及奥西替尼的效果和安全性。数据显示，现有药物对PC突变覆盖有限且效果较差，而富美替尼在结构上解决了对PC突变结合困难的问题，具有更好的安全性，能够提高剂量并增强抑制深度，从而实现对PC突变的良好覆盖和有效的肿瘤缓解效果。</w:t>
      </w:r>
    </w:p>
    <w:p>
      <w:r>
        <w:rPr>
          <w:rFonts w:ascii="等线(中文正文)" w:hAnsi="等线(中文正文)" w:cs="等线(中文正文)" w:eastAsia="等线(中文正文)"/>
          <w:b w:val="false"/>
          <w:i w:val="false"/>
          <w:sz w:val="20"/>
        </w:rPr>
        <w:t/>
      </w:r>
    </w:p>
    <w:p>
      <w:pPr>
        <w:pStyle w:val="ab"/>
      </w:pPr>
      <w:r>
        <w:t>发言人1 问：对于PC突变的临床试验预期结果及胜率能否给出指导？</w:t>
      </w:r>
    </w:p>
    <w:p>
      <w:r>
        <w:rPr>
          <w:rFonts w:ascii="等线(中文正文)" w:hAnsi="等线(中文正文)" w:cs="等线(中文正文)" w:eastAsia="等线(中文正文)"/>
          <w:b w:val="false"/>
          <w:i w:val="false"/>
          <w:sz w:val="20"/>
        </w:rPr>
        <w:t>发言人1 答：PC突变作为非经典EGFR突变中的第二大突变类型，全球尚未有获批药物，市场潜力巨大。对于PC突变一线治疗的研究，尽管不同位点和患者状态可能导致医生选择方案存在差异，但现有二代TKI和奥西替尼在覆盖位点少、效果差、安全性差等方面表现不尽如人意。而富美替尼在此重大突破，通过独特的结构解决了对PC突变结合困难的问题，付媒体的安全性好，可提升剂量，增强抑制深度，取得良好的肿瘤缓解效果。在2024年WCRC会议上公布的数据显示，富美替尼对于PC突变全覆盖，最佳缓解率高达81.8%，确认的OR率达到68%，且在240毫克治疗组的PFS达到16个月，显著优于二代TKI的研究数据，并且副反应发生率较低，未因治疗相关不良反应导致终止治疗，整体效果非常好。</w:t>
      </w:r>
    </w:p>
    <w:p>
      <w:r>
        <w:rPr>
          <w:rFonts w:ascii="等线(中文正文)" w:hAnsi="等线(中文正文)" w:cs="等线(中文正文)" w:eastAsia="等线(中文正文)"/>
          <w:b w:val="false"/>
          <w:i w:val="false"/>
          <w:sz w:val="20"/>
        </w:rPr>
        <w:t/>
      </w:r>
    </w:p>
    <w:p>
      <w:pPr>
        <w:pStyle w:val="ab"/>
      </w:pPr>
      <w:r>
        <w:t>发言人1 问：对于这个胜算从公司的角度来讲，对于项目的信心如何？是否期待海外研究进展？</w:t>
      </w:r>
    </w:p>
    <w:p>
      <w:r>
        <w:rPr>
          <w:rFonts w:ascii="等线(中文正文)" w:hAnsi="等线(中文正文)" w:cs="等线(中文正文)" w:eastAsia="等线(中文正文)"/>
          <w:b w:val="false"/>
          <w:i w:val="false"/>
          <w:sz w:val="20"/>
        </w:rPr>
        <w:t>发言人1 答：公司对该项目有非常大的信心，期待中国研究的顺利完成入组，并且也期待海外研究能够顺利推进，尽快看到数据。</w:t>
      </w:r>
    </w:p>
    <w:p>
      <w:r>
        <w:rPr>
          <w:rFonts w:ascii="等线(中文正文)" w:hAnsi="等线(中文正文)" w:cs="等线(中文正文)" w:eastAsia="等线(中文正文)"/>
          <w:b w:val="false"/>
          <w:i w:val="false"/>
          <w:sz w:val="20"/>
        </w:rPr>
        <w:t/>
      </w:r>
    </w:p>
    <w:p>
      <w:pPr>
        <w:pStyle w:val="ab"/>
      </w:pPr>
      <w:r>
        <w:t>发言人1 问：新产品上市导致一季度毛利率下滑约两个点，能否展望未来两年毛利率的变化情况以及是否考虑引进其他产品？</w:t>
      </w:r>
    </w:p>
    <w:p>
      <w:r>
        <w:rPr>
          <w:rFonts w:ascii="等线(中文正文)" w:hAnsi="等线(中文正文)" w:cs="等线(中文正文)" w:eastAsia="等线(中文正文)"/>
          <w:b w:val="false"/>
          <w:i w:val="false"/>
          <w:sz w:val="20"/>
        </w:rPr>
        <w:t>发言人1 答：今年一季度毛利率为95%左右，低于去年的96%，主要因伏美替尼价格下降及格尔雷赛、普拉替尼两个新产品的委外加工阶段生产成本较高。但预计今年及未来两年毛利率将维持在95%左右的水平，不会有特别大的波动。</w:t>
      </w:r>
    </w:p>
    <w:p>
      <w:r>
        <w:rPr>
          <w:rFonts w:ascii="等线(中文正文)" w:hAnsi="等线(中文正文)" w:cs="等线(中文正文)" w:eastAsia="等线(中文正文)"/>
          <w:b w:val="false"/>
          <w:i w:val="false"/>
          <w:sz w:val="20"/>
        </w:rPr>
        <w:t/>
      </w:r>
    </w:p>
    <w:p>
      <w:pPr>
        <w:pStyle w:val="ab"/>
      </w:pPr>
      <w:r>
        <w:t>发言人1 问：公司针对术后辅助等方面的注册临床研究进展如何？未来有哪些联合用药布局和数据进展可期？</w:t>
      </w:r>
    </w:p>
    <w:p>
      <w:r>
        <w:rPr>
          <w:rFonts w:ascii="等线(中文正文)" w:hAnsi="等线(中文正文)" w:cs="等线(中文正文)" w:eastAsia="等线(中文正文)"/>
          <w:b w:val="false"/>
          <w:i w:val="false"/>
          <w:sz w:val="20"/>
        </w:rPr>
        <w:t>发言人1 答：公司正在积极推行动脉内皮瘤术后辅助研究，针对敏感突变和非敏感突变的患者。其中，非敏感突变的术后辅助研究是全球唯一的一个注册临床研究，目前处于入组过程中。此外，伏美替尼联合化疗针对脑转移患者的注册临床研究（脑转）进展迅速，预计未来几个月内可完成全部患者入组。公司还在考虑开展更多注册临床研究，并将根据研究进展及时公告。关于富美替尼与其他药物的联合使用，公司的思路是解决未满足的临床需求，考虑机制互补，确保疗效、安全性和患者获益，同时也关注药物可及性。目前，公司内部研发已充分考虑现有产品如格兰联赛的联合用药可能，并与多家优秀公司合作开展临床研究，相关数据达到披露标准后会及时沟通汇报。</w:t>
      </w:r>
    </w:p>
    <w:p>
      <w:r>
        <w:rPr>
          <w:rFonts w:ascii="等线(中文正文)" w:hAnsi="等线(中文正文)" w:cs="等线(中文正文)" w:eastAsia="等线(中文正文)"/>
          <w:b w:val="false"/>
          <w:i w:val="false"/>
          <w:sz w:val="20"/>
        </w:rPr>
        <w:t/>
      </w:r>
    </w:p>
    <w:p>
      <w:pPr>
        <w:pStyle w:val="ab"/>
      </w:pPr>
      <w:r>
        <w:t>发言人1 问：在公司ADC管线中，首个IND预计何时可以看到？在适应症选择上，未来会优先考虑哪些产品？</w:t>
      </w:r>
    </w:p>
    <w:p>
      <w:r>
        <w:rPr>
          <w:rFonts w:ascii="等线(中文正文)" w:hAnsi="等线(中文正文)" w:cs="等线(中文正文)" w:eastAsia="等线(中文正文)"/>
          <w:b w:val="false"/>
          <w:i w:val="false"/>
          <w:sz w:val="20"/>
        </w:rPr>
        <w:t>发言人1 答：非常感谢您的关注。预计2024年我们将在大分子研发部成立后，优先开发ADC项目。首个IND的推出将主要基于几个关键考量：一是提升现有ADC的安全性；二是利用ADC药物广泛的治疗场景；三是发挥中国在创新药工程化方面的优势。在适应症选择上，未来将优先选择与自家已商业化产品进行联合应用的探索，特别是那些具有BIC或FPIC潜力的产品。</w:t>
      </w:r>
    </w:p>
    <w:p>
      <w:r>
        <w:rPr>
          <w:rFonts w:ascii="等线(中文正文)" w:hAnsi="等线(中文正文)" w:cs="等线(中文正文)" w:eastAsia="等线(中文正文)"/>
          <w:b w:val="false"/>
          <w:i w:val="false"/>
          <w:sz w:val="20"/>
        </w:rPr>
        <w:t/>
      </w:r>
    </w:p>
    <w:p>
      <w:pPr>
        <w:pStyle w:val="ab"/>
      </w:pPr>
      <w:r>
        <w:t>发言人1 问：公司为何优先开发ABC项目，以及该项目在靶点筛选方面做了哪些工作？</w:t>
      </w:r>
    </w:p>
    <w:p>
      <w:r>
        <w:rPr>
          <w:rFonts w:ascii="等线(中文正文)" w:hAnsi="等线(中文正文)" w:cs="等线(中文正文)" w:eastAsia="等线(中文正文)"/>
          <w:b w:val="false"/>
          <w:i w:val="false"/>
          <w:sz w:val="20"/>
        </w:rPr>
        <w:t>发言人1 答：优先开发ABC项目的原因包括ADC的安全性提升空间大、治疗场景广泛以及可以发挥中国在创新药工程化方面的优势。在靶点筛选过程中，我们投入了大量努力确保肿瘤生物学合理性，并且在临床前试验中使用自主研发的link pillow，展示了良好的安全性窗口。</w:t>
      </w:r>
    </w:p>
    <w:p>
      <w:r>
        <w:rPr>
          <w:rFonts w:ascii="等线(中文正文)" w:hAnsi="等线(中文正文)" w:cs="等线(中文正文)" w:eastAsia="等线(中文正文)"/>
          <w:b w:val="false"/>
          <w:i w:val="false"/>
          <w:sz w:val="20"/>
        </w:rPr>
        <w:t/>
      </w:r>
    </w:p>
    <w:p>
      <w:pPr>
        <w:pStyle w:val="ab"/>
      </w:pPr>
      <w:r>
        <w:t>发言人1 问：目前ABC项目的开发进度如何？预计何时申报IND？</w:t>
      </w:r>
    </w:p>
    <w:p>
      <w:r>
        <w:rPr>
          <w:rFonts w:ascii="等线(中文正文)" w:hAnsi="等线(中文正文)" w:cs="等线(中文正文)" w:eastAsia="等线(中文正文)"/>
          <w:b w:val="false"/>
          <w:i w:val="false"/>
          <w:sz w:val="20"/>
        </w:rPr>
        <w:t>发言人1 答：目前有两个ABC项目进入CMC阶段，其中一个是今年三季度中美同步申报IND，另一个预计明年年初申报。此外，今年还会有几个项目进入候选化合物和CMC开发阶段。</w:t>
      </w:r>
    </w:p>
    <w:p>
      <w:r>
        <w:rPr>
          <w:rFonts w:ascii="等线(中文正文)" w:hAnsi="等线(中文正文)" w:cs="等线(中文正文)" w:eastAsia="等线(中文正文)"/>
          <w:b w:val="false"/>
          <w:i w:val="false"/>
          <w:sz w:val="20"/>
        </w:rPr>
        <w:t/>
      </w:r>
    </w:p>
    <w:p>
      <w:pPr>
        <w:pStyle w:val="ab"/>
      </w:pPr>
      <w:r>
        <w:t>发言人1 问：联合用药策略是怎样的？是否考虑与其他药物（如丹药和连药）进行联合？</w:t>
      </w:r>
    </w:p>
    <w:p>
      <w:r>
        <w:rPr>
          <w:rFonts w:ascii="等线(中文正文)" w:hAnsi="等线(中文正文)" w:cs="等线(中文正文)" w:eastAsia="等线(中文正文)"/>
          <w:b w:val="false"/>
          <w:i w:val="false"/>
          <w:sz w:val="20"/>
        </w:rPr>
        <w:t>发言人1 答：联合用药策略首先关注产品的安全性、耐受性和初步疗效，以验证大分子ABC的成药性。如果条件允许，会进一步探索联合用药的空间，如解决后线耐药问题，并在安全性良好的情况下用于一线治疗以延长治疗时间。</w:t>
      </w:r>
    </w:p>
    <w:p>
      <w:r>
        <w:rPr>
          <w:rFonts w:ascii="等线(中文正文)" w:hAnsi="等线(中文正文)" w:cs="等线(中文正文)" w:eastAsia="等线(中文正文)"/>
          <w:b w:val="false"/>
          <w:i w:val="false"/>
          <w:sz w:val="20"/>
        </w:rPr>
        <w:t/>
      </w:r>
    </w:p>
    <w:p>
      <w:pPr>
        <w:pStyle w:val="ab"/>
      </w:pPr>
      <w:r>
        <w:t>发言人1 问：对于公司新管线的消息，有哪些可以分享？</w:t>
      </w:r>
    </w:p>
    <w:p>
      <w:r>
        <w:rPr>
          <w:rFonts w:ascii="等线(中文正文)" w:hAnsi="等线(中文正文)" w:cs="等线(中文正文)" w:eastAsia="等线(中文正文)"/>
          <w:b w:val="false"/>
          <w:i w:val="false"/>
          <w:sz w:val="20"/>
        </w:rPr>
        <w:t>发言人1 答：公司正朝着既定目标稳步发展，在2026年一季度取得了收入利润和经营质量上的良好进展，已进入核心产品兑现、管线持续推进以及国际化价值初步展现的新阶段。未来公司将持续做好核心产品的高质量放量增长、重点研发项目推进、国际合作深化等工作，并保持战略定力，确保各项事宜稳步落实。</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2026-04-24T00:52:20Z</dcterms:created>
  <dc:creator>Apache POI</dc:creator>
</cp:coreProperties>
</file>