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甘李药业 260423_导读</w:t>
      </w:r>
    </w:p>
    <w:p>
      <w:pPr>
        <w:pStyle w:val="a0"/>
        <w:jc w:val="center"/>
      </w:pPr>
      <w:r>
        <w:t>2026年04月24日 08:50</w:t>
      </w:r>
    </w:p>
    <w:p>
      <w:pPr>
        <w:pStyle w:val="a7"/>
      </w:pPr>
      <w:r>
        <w:t>关键词</w:t>
      </w:r>
    </w:p>
    <w:p>
      <w:r>
        <w:rPr>
          <w:rFonts w:ascii="等线(中文正文)" w:hAnsi="等线(中文正文)" w:cs="等线(中文正文)" w:eastAsia="等线(中文正文)"/>
          <w:b w:val="false"/>
          <w:i w:val="false"/>
          <w:sz w:val="20"/>
        </w:rPr>
        <w:t xml:space="preserve">甘李药业 营业收入 净利润 国际业务 集采 胰岛素制剂 研发投入 股权激励 全球化战略 GLP one 第四代胰岛素 市场注册 糖尿病 代谢领域 口服多肽制剂 生物制品 销售费用 现金流 胰岛素 CDR33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甘李药业在回顾2025年经营情况时，展现了营业收入、净利润及扣非后净利润的稳健增长，彰显公司持续增长的良好态势。尽管2026年一季度国际收入显著提升，整体收入略有下滑，主要是因税制调整所致。公司强调，尽管存在不确定性，投资者在考虑前瞻性表述时仍需谨慎。陈伟董事长阐述了公司在研发、市场扩展和国际化布局上的进展，特别是多个核心产品的临床进展，以及通过持续创新提升竞争力的策略。此外，公司管理层深入讨论了产品开发、市场战略、产能建设及国际合作的具体策略与进展，包括巴西市场布局、未来产品管线预期及税制变化影响。整体而言，甘李药业展现了在保障现有业务的同时，持续推进国际化和产品商业化，以实现稳健、可持续发展的决心与努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甘李药业2025年度业绩交流会概览</w:t>
      </w:r>
    </w:p>
    <w:p>
      <w:r>
        <w:rPr>
          <w:rFonts w:ascii="等线(中文正文)" w:hAnsi="等线(中文正文)" w:cs="等线(中文正文)" w:eastAsia="等线(中文正文)"/>
          <w:b w:val="false"/>
          <w:i w:val="false"/>
          <w:sz w:val="20"/>
        </w:rPr>
        <w:t>甘李药业在2025年度实现营业收入与净利润显著增长，国际收入大幅上升，但2026年一季度受税制调整影响，营收与扣非净利润略有下降。会议中提及的前瞻性表述存在不确定性，投资者需注意风险。财务负责人将对具体经营和财务数据进行详细解读。</w:t>
      </w:r>
    </w:p>
    <w:p>
      <w:r>
        <w:rPr>
          <w:rFonts w:ascii="等线(中文正文)" w:hAnsi="等线(中文正文)" w:cs="等线(中文正文)" w:eastAsia="等线(中文正文)"/>
          <w:b w:val="false"/>
          <w:i w:val="false"/>
          <w:sz w:val="20"/>
        </w:rPr>
        <w:t/>
      </w:r>
    </w:p>
    <w:p>
      <w:pPr>
        <w:pStyle w:val="ab"/>
        <w:numPr>
          <w:numId w:val="2"/>
        </w:numPr>
      </w:pPr>
      <w:r>
        <w:t>01:42 2025年度公司经营情况与财务数据分析</w:t>
      </w:r>
    </w:p>
    <w:p>
      <w:r>
        <w:rPr>
          <w:rFonts w:ascii="等线(中文正文)" w:hAnsi="等线(中文正文)" w:cs="等线(中文正文)" w:eastAsia="等线(中文正文)"/>
          <w:b w:val="false"/>
          <w:i w:val="false"/>
          <w:sz w:val="20"/>
        </w:rPr>
        <w:t>报告概述了公司2025年度经营情况，收入端实现40.52亿元，同比增长33.06%，生物制品收入贡献显著。集采推进与国际业务增长推动收入提升，毛利率提升至75.84%。销售与研发投入增加，现金流稳健，计划实施现金分红，股权激励计划强化团队动力。</w:t>
      </w:r>
    </w:p>
    <w:p>
      <w:r>
        <w:rPr>
          <w:rFonts w:ascii="等线(中文正文)" w:hAnsi="等线(中文正文)" w:cs="等线(中文正文)" w:eastAsia="等线(中文正文)"/>
          <w:b w:val="false"/>
          <w:i w:val="false"/>
          <w:sz w:val="20"/>
        </w:rPr>
        <w:t/>
      </w:r>
    </w:p>
    <w:p>
      <w:pPr>
        <w:pStyle w:val="ab"/>
        <w:numPr>
          <w:numId w:val="3"/>
        </w:numPr>
      </w:pPr>
      <w:r>
        <w:t>09:45 公司国际化布局与创新药全球合作进展</w:t>
      </w:r>
    </w:p>
    <w:p>
      <w:r>
        <w:rPr>
          <w:rFonts w:ascii="等线(中文正文)" w:hAnsi="等线(中文正文)" w:cs="等线(中文正文)" w:eastAsia="等线(中文正文)"/>
          <w:b w:val="false"/>
          <w:i w:val="false"/>
          <w:sz w:val="20"/>
        </w:rPr>
        <w:t>公司国际收入持续增长，通过抓住市场空缺和二代胰岛素向三代转换的机会，以及与巴西等国家的深度合作，实现销量提升。在创新药方面，采取分散风险策略，与拉美、印度、韩国等地区开展合作，加速新药临床和商业化进程。同时，海外注册取得显著进展，如在欧洲获得甘精胰岛素等产品的上市批准，为未来销量增长奠定基础。公司正构建多区域海外注册体系，支持国际业务持续扩展。</w:t>
      </w:r>
    </w:p>
    <w:p>
      <w:r>
        <w:rPr>
          <w:rFonts w:ascii="等线(中文正文)" w:hAnsi="等线(中文正文)" w:cs="等线(中文正文)" w:eastAsia="等线(中文正文)"/>
          <w:b w:val="false"/>
          <w:i w:val="false"/>
          <w:sz w:val="20"/>
        </w:rPr>
        <w:t/>
      </w:r>
    </w:p>
    <w:p>
      <w:pPr>
        <w:pStyle w:val="ab"/>
        <w:numPr>
          <w:numId w:val="4"/>
        </w:numPr>
      </w:pPr>
      <w:r>
        <w:t>15:23 公司研发投入与核心管线进展</w:t>
      </w:r>
    </w:p>
    <w:p>
      <w:r>
        <w:rPr>
          <w:rFonts w:ascii="等线(中文正文)" w:hAnsi="等线(中文正文)" w:cs="等线(中文正文)" w:eastAsia="等线(中文正文)"/>
          <w:b w:val="false"/>
          <w:i w:val="false"/>
          <w:sz w:val="20"/>
        </w:rPr>
        <w:t>公司持续加大研发投入，多个核心项目进入关键临床阶段。在糖尿病及代谢领域，推进了以GLP-1和第四代胰岛素周制剂为核心的产品布局，同时向免疫及相关领域拓展。已构建起以超长周期为核心的产品体系，波汉格鲁泰作为全球首个双周给药产品，正在中国和美国开展多项临床研究。公司管线内的迭代产品布局向更长周期给药频率延伸，包括季度给药和每周口服多肽制剂，旨在提升患者用药便利性和依从性。基于多靶点组合的产品也在推进中，有望带来代谢方面的综合获益。公司正通过即将上市产品与下一代代言产品的快速突破，逐步搭建起完善的、差异化的CLBY产品组合体系。</w:t>
      </w:r>
    </w:p>
    <w:p>
      <w:r>
        <w:rPr>
          <w:rFonts w:ascii="等线(中文正文)" w:hAnsi="等线(中文正文)" w:cs="等线(中文正文)" w:eastAsia="等线(中文正文)"/>
          <w:b w:val="false"/>
          <w:i w:val="false"/>
          <w:sz w:val="20"/>
        </w:rPr>
        <w:t/>
      </w:r>
    </w:p>
    <w:p>
      <w:pPr>
        <w:pStyle w:val="ab"/>
        <w:numPr>
          <w:numId w:val="5"/>
        </w:numPr>
      </w:pPr>
      <w:r>
        <w:t>17:43 糖尿病治疗新进展：周制剂与复方胰岛素的突破</w:t>
      </w:r>
    </w:p>
    <w:p>
      <w:r>
        <w:rPr>
          <w:rFonts w:ascii="等线(中文正文)" w:hAnsi="等线(中文正文)" w:cs="等线(中文正文)" w:eastAsia="等线(中文正文)"/>
          <w:b w:val="false"/>
          <w:i w:val="false"/>
          <w:sz w:val="20"/>
        </w:rPr>
        <w:t>对话介绍了糖尿病治疗领域的最新进展，包括国内首个基础胰岛素周制剂GD24和复方双胰岛素制剂CCR101的临床研究情况，强调了这些新药在血糖控制、低血糖风险管理和患者用药依从性方面的显著优势。此外，还提到了针对胰岛素和GLP-1受体的双靶点复方周期7.102，以及公司在代谢疾病和免疫领域的新药研发布局。</w:t>
      </w:r>
    </w:p>
    <w:p>
      <w:r>
        <w:rPr>
          <w:rFonts w:ascii="等线(中文正文)" w:hAnsi="等线(中文正文)" w:cs="等线(中文正文)" w:eastAsia="等线(中文正文)"/>
          <w:b w:val="false"/>
          <w:i w:val="false"/>
          <w:sz w:val="20"/>
        </w:rPr>
        <w:t/>
      </w:r>
    </w:p>
    <w:p>
      <w:pPr>
        <w:pStyle w:val="ab"/>
        <w:numPr>
          <w:numId w:val="6"/>
        </w:numPr>
      </w:pPr>
      <w:r>
        <w:t>22:33 公司业绩交流：创新转型与全球布局</w:t>
      </w:r>
    </w:p>
    <w:p>
      <w:r>
        <w:rPr>
          <w:rFonts w:ascii="等线(中文正文)" w:hAnsi="等线(中文正文)" w:cs="等线(中文正文)" w:eastAsia="等线(中文正文)"/>
          <w:b w:val="false"/>
          <w:i w:val="false"/>
          <w:sz w:val="20"/>
        </w:rPr>
        <w:t>业绩交流展示了公司核心研发管线进入后期临床阶段，国内业务增长及国际化布局稳步推进。公司聚焦创新管线，推进国际市场拓展与产品商业化，旨在提升全球患者用药可及性，同时确保现有业务发展与股东回报，推动稳健可持续发展。</w:t>
      </w:r>
    </w:p>
    <w:p>
      <w:r>
        <w:rPr>
          <w:rFonts w:ascii="等线(中文正文)" w:hAnsi="等线(中文正文)" w:cs="等线(中文正文)" w:eastAsia="等线(中文正文)"/>
          <w:b w:val="false"/>
          <w:i w:val="false"/>
          <w:sz w:val="20"/>
        </w:rPr>
        <w:t/>
      </w:r>
    </w:p>
    <w:p>
      <w:pPr>
        <w:pStyle w:val="ab"/>
        <w:numPr>
          <w:numId w:val="7"/>
        </w:numPr>
      </w:pPr>
      <w:r>
        <w:t>23:43 胰岛素周制剂GCR4临床进展与上市预期</w:t>
      </w:r>
    </w:p>
    <w:p>
      <w:r>
        <w:rPr>
          <w:rFonts w:ascii="等线(中文正文)" w:hAnsi="等线(中文正文)" w:cs="等线(中文正文)" w:eastAsia="等线(中文正文)"/>
          <w:b w:val="false"/>
          <w:i w:val="false"/>
          <w:sz w:val="20"/>
        </w:rPr>
        <w:t>胰岛素周制剂GCR4在国内外的临床进展显著，国内三期临床301、302实验已取得26周主要疗效数据，303实验预计二季度末完成，52周实验预计11月完成，年底提交上市申请。海外德国实验完成，数据正分析中，计划9月ESD口头报告，后续将与FDA沟通启动全球三期临床，预计3-4季度启动。</w:t>
      </w:r>
    </w:p>
    <w:p>
      <w:r>
        <w:rPr>
          <w:rFonts w:ascii="等线(中文正文)" w:hAnsi="等线(中文正文)" w:cs="等线(中文正文)" w:eastAsia="等线(中文正文)"/>
          <w:b w:val="false"/>
          <w:i w:val="false"/>
          <w:sz w:val="20"/>
        </w:rPr>
        <w:t/>
      </w:r>
    </w:p>
    <w:p>
      <w:pPr>
        <w:pStyle w:val="ab"/>
        <w:numPr>
          <w:numId w:val="8"/>
        </w:numPr>
      </w:pPr>
      <w:r>
        <w:t>26:07 GR4相较于诺和诺德产品的差异化优势解析</w:t>
      </w:r>
    </w:p>
    <w:p>
      <w:r>
        <w:rPr>
          <w:rFonts w:ascii="等线(中文正文)" w:hAnsi="等线(中文正文)" w:cs="等线(中文正文)" w:eastAsia="等线(中文正文)"/>
          <w:b w:val="false"/>
          <w:i w:val="false"/>
          <w:sz w:val="20"/>
        </w:rPr>
        <w:t>讨论了GR4相较于诺和诺德产品的五大差异化优势，包括显著提升的活性、更快起效、操作便捷性、药物变异度低及安全性，强调了GR4在机制创新方面的突破，使其成为更优的周期性治疗选择。</w:t>
      </w:r>
    </w:p>
    <w:p>
      <w:r>
        <w:rPr>
          <w:rFonts w:ascii="等线(中文正文)" w:hAnsi="等线(中文正文)" w:cs="等线(中文正文)" w:eastAsia="等线(中文正文)"/>
          <w:b w:val="false"/>
          <w:i w:val="false"/>
          <w:sz w:val="20"/>
        </w:rPr>
        <w:t/>
      </w:r>
    </w:p>
    <w:p>
      <w:pPr>
        <w:pStyle w:val="ab"/>
        <w:numPr>
          <w:numId w:val="9"/>
        </w:numPr>
      </w:pPr>
      <w:r>
        <w:t>29:54 海外新兴市场增速展望及巴西市场贡献分析</w:t>
      </w:r>
    </w:p>
    <w:p>
      <w:r>
        <w:rPr>
          <w:rFonts w:ascii="等线(中文正文)" w:hAnsi="等线(中文正文)" w:cs="等线(中文正文)" w:eastAsia="等线(中文正文)"/>
          <w:b w:val="false"/>
          <w:i w:val="false"/>
          <w:sz w:val="20"/>
        </w:rPr>
        <w:t>对话讨论了海外新兴市场在2026年的增长预期，指出巴西市场去年未正式进入PDP时收入已占国际市场近20%，预计今年增长至40%-50%。同时提及，巴西及其他市场的增长超预期，尤其在糖尿病治疗领域，二代胰岛素供应不足促使转向三代胰岛素，公司凭借价格和产量优势，推动产品更新换代。</w:t>
      </w:r>
    </w:p>
    <w:p>
      <w:r>
        <w:rPr>
          <w:rFonts w:ascii="等线(中文正文)" w:hAnsi="等线(中文正文)" w:cs="等线(中文正文)" w:eastAsia="等线(中文正文)"/>
          <w:b w:val="false"/>
          <w:i w:val="false"/>
          <w:sz w:val="20"/>
        </w:rPr>
        <w:t/>
      </w:r>
    </w:p>
    <w:p>
      <w:pPr>
        <w:pStyle w:val="ab"/>
        <w:numPr>
          <w:numId w:val="10"/>
        </w:numPr>
      </w:pPr>
      <w:r>
        <w:t>32:23 海外业务进展与业绩预期</w:t>
      </w:r>
    </w:p>
    <w:p>
      <w:r>
        <w:rPr>
          <w:rFonts w:ascii="等线(中文正文)" w:hAnsi="等线(中文正文)" w:cs="等线(中文正文)" w:eastAsia="等线(中文正文)"/>
          <w:b w:val="false"/>
          <w:i w:val="false"/>
          <w:sz w:val="20"/>
        </w:rPr>
        <w:t>对话围绕公司海外业务进展展开，讨论了欧洲、亚太、拉美及中东市场的上市预期与业绩贡献。欧洲方面，赖普门冬预计今年四季度商业化，普门中预计明年上市。亚太市场如印度、印尼、马来西亚等国表现良好，门冬系列增长显著。拉美市场以巴西为首，中东市场注册提速。</w:t>
      </w:r>
    </w:p>
    <w:p>
      <w:r>
        <w:rPr>
          <w:rFonts w:ascii="等线(中文正文)" w:hAnsi="等线(中文正文)" w:cs="等线(中文正文)" w:eastAsia="等线(中文正文)"/>
          <w:b w:val="false"/>
          <w:i w:val="false"/>
          <w:sz w:val="20"/>
        </w:rPr>
        <w:t/>
      </w:r>
    </w:p>
    <w:p>
      <w:pPr>
        <w:pStyle w:val="ab"/>
        <w:numPr>
          <w:numId w:val="11"/>
        </w:numPr>
      </w:pPr>
      <w:r>
        <w:t>35:51 增值税率切换与非洲市场拓展对公司影响分析</w:t>
      </w:r>
    </w:p>
    <w:p>
      <w:r>
        <w:rPr>
          <w:rFonts w:ascii="等线(中文正文)" w:hAnsi="等线(中文正文)" w:cs="等线(中文正文)" w:eastAsia="等线(中文正文)"/>
          <w:b w:val="false"/>
          <w:i w:val="false"/>
          <w:sz w:val="20"/>
        </w:rPr>
        <w:t>对话讨论了增值税率切换对公司收入和利润端的影响，预计全年为负向影响，但管理层有信心通过市场拓展消化负面影响。同时，公司正在推进非洲市场的商业化进程，包括黑非洲和俄罗斯区域，已看到埃塞俄比亚等国家的获批进展。一季度许可收入主要来自拉美和印度，韩国收入将在二季度体现。</w:t>
      </w:r>
    </w:p>
    <w:p>
      <w:r>
        <w:rPr>
          <w:rFonts w:ascii="等线(中文正文)" w:hAnsi="等线(中文正文)" w:cs="等线(中文正文)" w:eastAsia="等线(中文正文)"/>
          <w:b w:val="false"/>
          <w:i w:val="false"/>
          <w:sz w:val="20"/>
        </w:rPr>
        <w:t/>
      </w:r>
    </w:p>
    <w:p>
      <w:pPr>
        <w:pStyle w:val="ab"/>
        <w:numPr>
          <w:numId w:val="12"/>
        </w:numPr>
      </w:pPr>
      <w:r>
        <w:t>38:53 甘犁Protect技术平台优势及2037临床进展</w:t>
      </w:r>
    </w:p>
    <w:p>
      <w:r>
        <w:rPr>
          <w:rFonts w:ascii="等线(中文正文)" w:hAnsi="等线(中文正文)" w:cs="等线(中文正文)" w:eastAsia="等线(中文正文)"/>
          <w:b w:val="false"/>
          <w:i w:val="false"/>
          <w:sz w:val="20"/>
        </w:rPr>
        <w:t>对话讨论了甘犁Protect技术平台的技术特点，包括自主知识产权的配比库，以及2037作为基于AR靶点的Protect产品在临床前动物实验中显示的显著疗效提升。此外，平台在自免领域靶点产品开发上的差异化竞争优势明显，预计今年将有产品提交IND，显示了快速高效的研发能力。</w:t>
      </w:r>
    </w:p>
    <w:p>
      <w:r>
        <w:rPr>
          <w:rFonts w:ascii="等线(中文正文)" w:hAnsi="等线(中文正文)" w:cs="等线(中文正文)" w:eastAsia="等线(中文正文)"/>
          <w:b w:val="false"/>
          <w:i w:val="false"/>
          <w:sz w:val="20"/>
        </w:rPr>
        <w:t/>
      </w:r>
    </w:p>
    <w:p>
      <w:pPr>
        <w:pStyle w:val="ab"/>
        <w:numPr>
          <w:numId w:val="13"/>
        </w:numPr>
      </w:pPr>
      <w:r>
        <w:t>43:24 GDR18全球开发规划与市场前景</w:t>
      </w:r>
    </w:p>
    <w:p>
      <w:r>
        <w:rPr>
          <w:rFonts w:ascii="等线(中文正文)" w:hAnsi="等线(中文正文)" w:cs="等线(中文正文)" w:eastAsia="等线(中文正文)"/>
          <w:b w:val="false"/>
          <w:i w:val="false"/>
          <w:sz w:val="20"/>
        </w:rPr>
        <w:t>对话讨论了GDR18在全球市场的开发规划，包括国内三期临床进展及海外二期临床完成情况，预计未来几年内全球上市并实现销售目标。公司计划通过分散合作策略推进产品在新兴市场的临床研究，同时补充欧美数据以支持商业化进程，预计中国将率先上市，国际市场随后跟进，整体规划积极乐观。</w:t>
      </w:r>
    </w:p>
    <w:p>
      <w:r>
        <w:rPr>
          <w:rFonts w:ascii="等线(中文正文)" w:hAnsi="等线(中文正文)" w:cs="等线(中文正文)" w:eastAsia="等线(中文正文)"/>
          <w:b w:val="false"/>
          <w:i w:val="false"/>
          <w:sz w:val="20"/>
        </w:rPr>
        <w:t/>
      </w:r>
    </w:p>
    <w:p>
      <w:pPr>
        <w:pStyle w:val="ab"/>
        <w:numPr>
          <w:numId w:val="14"/>
        </w:numPr>
      </w:pPr>
      <w:r>
        <w:t>48:03 平台收益与产能释放情况详解</w:t>
      </w:r>
    </w:p>
    <w:p>
      <w:r>
        <w:rPr>
          <w:rFonts w:ascii="等线(中文正文)" w:hAnsi="等线(中文正文)" w:cs="等线(中文正文)" w:eastAsia="等线(中文正文)"/>
          <w:b w:val="false"/>
          <w:i w:val="false"/>
          <w:sz w:val="20"/>
        </w:rPr>
        <w:t>对话围绕平台何时能创造收益及产能释放情况展开。首先，通过搭建BD团队，积极与国内外企业沟通，期望通过海外商业化合作实现早期变现。其次，关于产能释放，山东工厂作为第四个生产厂，规模已超过北京，且原老品种与新品种生产线分离，支持整体放量。甘精和赖普已转移至山东生产，尽管一季度库存较低，但随着二季度产能释放，预计下半年门中系列也能转移，实现国内外供货。</w:t>
      </w:r>
    </w:p>
    <w:p>
      <w:r>
        <w:rPr>
          <w:rFonts w:ascii="等线(中文正文)" w:hAnsi="等线(中文正文)" w:cs="等线(中文正文)" w:eastAsia="等线(中文正文)"/>
          <w:b w:val="false"/>
          <w:i w:val="false"/>
          <w:sz w:val="20"/>
        </w:rPr>
        <w:t/>
      </w:r>
    </w:p>
    <w:p>
      <w:pPr>
        <w:pStyle w:val="ab"/>
        <w:numPr>
          <w:numId w:val="15"/>
        </w:numPr>
      </w:pPr>
      <w:r>
        <w:t>51:51 2026年研发投入规划与产能恢复策略</w:t>
      </w:r>
    </w:p>
    <w:p>
      <w:r>
        <w:rPr>
          <w:rFonts w:ascii="等线(中文正文)" w:hAnsi="等线(中文正文)" w:cs="等线(中文正文)" w:eastAsia="等线(中文正文)"/>
          <w:b w:val="false"/>
          <w:i w:val="false"/>
          <w:sz w:val="20"/>
        </w:rPr>
        <w:t>讨论了2026年研发投入规划，强调了临床阶段投入增加及资本化比例提升。介绍了新增IMP数量不少于五个，涵盖多种产品类型。分析了国内外产品生产切换对产能的影响，预计二季度恢复，下半年产能充足。提及2026年里程碑收入确认将根据BD情况按会计准则处理，已知韩国项目首付款二季度确认。</w:t>
      </w:r>
    </w:p>
    <w:p>
      <w:r>
        <w:rPr>
          <w:rFonts w:ascii="等线(中文正文)" w:hAnsi="等线(中文正文)" w:cs="等线(中文正文)" w:eastAsia="等线(中文正文)"/>
          <w:b w:val="false"/>
          <w:i w:val="false"/>
          <w:sz w:val="20"/>
        </w:rPr>
        <w:t/>
      </w:r>
    </w:p>
    <w:p>
      <w:pPr>
        <w:pStyle w:val="ab"/>
        <w:numPr>
          <w:numId w:val="16"/>
        </w:numPr>
      </w:pPr>
      <w:r>
        <w:t>56:49 甘李药业技术转移与创新药布局讨论</w:t>
      </w:r>
    </w:p>
    <w:p>
      <w:r>
        <w:rPr>
          <w:rFonts w:ascii="等线(中文正文)" w:hAnsi="等线(中文正文)" w:cs="等线(中文正文)" w:eastAsia="等线(中文正文)"/>
          <w:b w:val="false"/>
          <w:i w:val="false"/>
          <w:sz w:val="20"/>
        </w:rPr>
        <w:t>对话围绕甘李药业的技术转移进度、模式复制性及创新药布局展开。管理层详细介绍了巴西PDP项目的技术转移进展，强调了其独特性和长周期特性，同时分享了公司在全球市场复制技术转移模式的成功案例和未来规划。此外，还讨论了国内胰岛素品种结构变化对单价的影响，以及2026年产能释放预期和创新药管线进展，展现了公司从仿制药企向创新药企转型的坚定步伐。</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即甘李药业董事长陈伟，在业绩交流会上首先介绍了公司2025年的经营情况，指出营业收入同比增长33.06%至40.52亿元，净利润增长86.05%至11.44亿元。虽然强调前瞻性表述存在不确定性，投资者应注意投资风险。发言人回顾了2026年一季度经营状况，国际收入增长但国内收入和净利润下降，主要因税制调整，整体基本面未变。同时，强调公司持续加大研发投入，国内外市场取得积极进展，并介绍了股权激励计划、利润分配预案、国际化布局和重点研发管线进展。在问答环节，详细回应了投资者关于新产品临床进展、海外布局、产能释放、研发投入规划、技术创新等问题，并阐述了公司未来的发展目标和战略布局，展现了甘李药业创新转型和国际化发展的雄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问：请简要回顾一下甘李药业2025年的经营情况？</w:t>
      </w:r>
    </w:p>
    <w:p>
      <w:r>
        <w:rPr>
          <w:rFonts w:ascii="等线(中文正文)" w:hAnsi="等线(中文正文)" w:cs="等线(中文正文)" w:eastAsia="等线(中文正文)"/>
          <w:b w:val="false"/>
          <w:i w:val="false"/>
          <w:sz w:val="20"/>
        </w:rPr>
        <w:t>发言人1 答：在2025年度，甘李药业累计实现营业收入40.52亿元，同比增长33.06%；净利润为11.44亿元，同比增长86.05%。扣非后净利润为7.80亿元，同比增长81.21%。尽管2026年第一季度公司累计实现营业收入8.78亿元，同比下降10.84%，但整体经营基本面保持良好，未发生重大变化。</w:t>
      </w:r>
    </w:p>
    <w:p>
      <w:r>
        <w:rPr>
          <w:rFonts w:ascii="等线(中文正文)" w:hAnsi="等线(中文正文)" w:cs="等线(中文正文)" w:eastAsia="等线(中文正文)"/>
          <w:b w:val="false"/>
          <w:i w:val="false"/>
          <w:sz w:val="20"/>
        </w:rPr>
        <w:t/>
      </w:r>
    </w:p>
    <w:p>
      <w:pPr>
        <w:pStyle w:val="ab"/>
      </w:pPr>
      <w:r>
        <w:t>发言人1 问：公司收入增长的主要驱动力是什么？</w:t>
      </w:r>
    </w:p>
    <w:p>
      <w:r>
        <w:rPr>
          <w:rFonts w:ascii="等线(中文正文)" w:hAnsi="等线(中文正文)" w:cs="等线(中文正文)" w:eastAsia="等线(中文正文)"/>
          <w:b w:val="false"/>
          <w:i w:val="false"/>
          <w:sz w:val="20"/>
        </w:rPr>
        <w:t>发言人1 答：2025年度，公司收入增长的主要驱动力是生物制品收入，达到38.02亿元，同比增长41.14%。其中，国内制剂业务实现收入34.30亿元，较上年同期增长40%，增长原因包括集采执行持续推进带来的产品销量快速增长以及终端覆盖持续扩大和服务能力不断提升。</w:t>
      </w:r>
    </w:p>
    <w:p>
      <w:r>
        <w:rPr>
          <w:rFonts w:ascii="等线(中文正文)" w:hAnsi="等线(中文正文)" w:cs="等线(中文正文)" w:eastAsia="等线(中文正文)"/>
          <w:b w:val="false"/>
          <w:i w:val="false"/>
          <w:sz w:val="20"/>
        </w:rPr>
        <w:t/>
      </w:r>
    </w:p>
    <w:p>
      <w:pPr>
        <w:pStyle w:val="ab"/>
      </w:pPr>
      <w:r>
        <w:t>发言人1 问：国际业务的情况如何？对于2026年第一季度收入同比波动的原因是什么？</w:t>
      </w:r>
    </w:p>
    <w:p>
      <w:r>
        <w:rPr>
          <w:rFonts w:ascii="等线(中文正文)" w:hAnsi="等线(中文正文)" w:cs="等线(中文正文)" w:eastAsia="等线(中文正文)"/>
          <w:b w:val="false"/>
          <w:i w:val="false"/>
          <w:sz w:val="20"/>
        </w:rPr>
        <w:t>发言人1 答：国际业务在2025年度保持快速增长，实现收入5.39亿元，同比增长36%。国际业务的增长得益于全球化战略的持续推进，与重点市场和核心合作伙伴维持稳定的合作关系，以及产品组合的多元化推广，使得订单规模得到提升。2026年第一季度，公司收入同比下降10%，主要是由于税制口径变化（自2026年1月1日起由增值税简易征收3%税率变更为一般计税13%税率）以及国际销售收入占比持续提升导致。此外，国内外产品的生产切换和排产安排对实际产能产生了短期影响。</w:t>
      </w:r>
    </w:p>
    <w:p>
      <w:r>
        <w:rPr>
          <w:rFonts w:ascii="等线(中文正文)" w:hAnsi="等线(中文正文)" w:cs="等线(中文正文)" w:eastAsia="等线(中文正文)"/>
          <w:b w:val="false"/>
          <w:i w:val="false"/>
          <w:sz w:val="20"/>
        </w:rPr>
        <w:t/>
      </w:r>
    </w:p>
    <w:p>
      <w:pPr>
        <w:pStyle w:val="ab"/>
      </w:pPr>
      <w:r>
        <w:t>发言人1 问：毛利水平和销售费用方面的情况如何？</w:t>
      </w:r>
    </w:p>
    <w:p>
      <w:r>
        <w:rPr>
          <w:rFonts w:ascii="等线(中文正文)" w:hAnsi="等线(中文正文)" w:cs="等线(中文正文)" w:eastAsia="等线(中文正文)"/>
          <w:b w:val="false"/>
          <w:i w:val="false"/>
          <w:sz w:val="20"/>
        </w:rPr>
        <w:t>发言人1 答：2025年公司整体毛利为75.84%，较上年同期增加一个百分点。销售费用为13.50亿元，占收入比重为33.33%，同比增长15%。销售费用的增长主要源于公司加强学术推广并下沉终端市场，相关投入促进了产品销售规模的提升。</w:t>
      </w:r>
    </w:p>
    <w:p>
      <w:r>
        <w:rPr>
          <w:rFonts w:ascii="等线(中文正文)" w:hAnsi="等线(中文正文)" w:cs="等线(中文正文)" w:eastAsia="等线(中文正文)"/>
          <w:b w:val="false"/>
          <w:i w:val="false"/>
          <w:sz w:val="20"/>
        </w:rPr>
        <w:t/>
      </w:r>
    </w:p>
    <w:p>
      <w:pPr>
        <w:pStyle w:val="ab"/>
      </w:pPr>
      <w:r>
        <w:t>发言人1 问：研发投入情况如何？</w:t>
      </w:r>
    </w:p>
    <w:p>
      <w:r>
        <w:rPr>
          <w:rFonts w:ascii="等线(中文正文)" w:hAnsi="等线(中文正文)" w:cs="等线(中文正文)" w:eastAsia="等线(中文正文)"/>
          <w:b w:val="false"/>
          <w:i w:val="false"/>
          <w:sz w:val="20"/>
        </w:rPr>
        <w:t>发言人1 答：2025年度公司研发投入为13.4亿元，同比增长107.61%，占销售收入比重为33.08%。其中研发费用化投入6.47亿元，研发资本化投入6.94亿元，占研发投入总投入占比为51.74%。研发投入规模的增长主要系公司多个核心产品进入临床三期阶段。</w:t>
      </w:r>
    </w:p>
    <w:p>
      <w:r>
        <w:rPr>
          <w:rFonts w:ascii="等线(中文正文)" w:hAnsi="等线(中文正文)" w:cs="等线(中文正文)" w:eastAsia="等线(中文正文)"/>
          <w:b w:val="false"/>
          <w:i w:val="false"/>
          <w:sz w:val="20"/>
        </w:rPr>
        <w:t/>
      </w:r>
    </w:p>
    <w:p>
      <w:pPr>
        <w:pStyle w:val="ab"/>
      </w:pPr>
      <w:r>
        <w:t>发言人1 问：现金流及资金状况怎样？</w:t>
      </w:r>
    </w:p>
    <w:p>
      <w:r>
        <w:rPr>
          <w:rFonts w:ascii="等线(中文正文)" w:hAnsi="等线(中文正文)" w:cs="等线(中文正文)" w:eastAsia="等线(中文正文)"/>
          <w:b w:val="false"/>
          <w:i w:val="false"/>
          <w:sz w:val="20"/>
        </w:rPr>
        <w:t>发言人1 答：经营活动现金流量净额较上年增长2.47亿元，投资活动现金流量净额同比增加2.98亿元，筹资活动现金流量净额较上年减少4.37亿元。截至2025年末，公司资产总额为126亿元，负债总额为10亿元，资产负债率7.9%，资金储备充足，资本结构稳健。</w:t>
      </w:r>
    </w:p>
    <w:p>
      <w:r>
        <w:rPr>
          <w:rFonts w:ascii="等线(中文正文)" w:hAnsi="等线(中文正文)" w:cs="等线(中文正文)" w:eastAsia="等线(中文正文)"/>
          <w:b w:val="false"/>
          <w:i w:val="false"/>
          <w:sz w:val="20"/>
        </w:rPr>
        <w:t/>
      </w:r>
    </w:p>
    <w:p>
      <w:pPr>
        <w:pStyle w:val="ab"/>
      </w:pPr>
      <w:r>
        <w:t>发言人1 问：本年度利润分配预案及股权激励计划是怎样的？</w:t>
      </w:r>
    </w:p>
    <w:p>
      <w:r>
        <w:rPr>
          <w:rFonts w:ascii="等线(中文正文)" w:hAnsi="等线(中文正文)" w:cs="等线(中文正文)" w:eastAsia="等线(中文正文)"/>
          <w:b w:val="false"/>
          <w:i w:val="false"/>
          <w:sz w:val="20"/>
        </w:rPr>
        <w:t>发言人1 答：公司拟向每10股派发现金红利十元含税，现金分红总额为5.97亿元含税。自上市以来，公司累计实施现金分红及回购总额已达17.61亿元。同时，公司已实施两期股权激励计划，覆盖2023年度至2024年度四个会计年度，有助于绑定核心团队利益并提升公司长期经营动力。</w:t>
      </w:r>
    </w:p>
    <w:p>
      <w:r>
        <w:rPr>
          <w:rFonts w:ascii="等线(中文正文)" w:hAnsi="等线(中文正文)" w:cs="等线(中文正文)" w:eastAsia="等线(中文正文)"/>
          <w:b w:val="false"/>
          <w:i w:val="false"/>
          <w:sz w:val="20"/>
        </w:rPr>
        <w:t/>
      </w:r>
    </w:p>
    <w:p>
      <w:pPr>
        <w:pStyle w:val="ab"/>
      </w:pPr>
      <w:r>
        <w:t>发言人1 问：请介绍一下公司的国际化进展？</w:t>
      </w:r>
    </w:p>
    <w:p>
      <w:r>
        <w:rPr>
          <w:rFonts w:ascii="等线(中文正文)" w:hAnsi="等线(中文正文)" w:cs="等线(中文正文)" w:eastAsia="等线(中文正文)"/>
          <w:b w:val="false"/>
          <w:i w:val="false"/>
          <w:sz w:val="20"/>
        </w:rPr>
        <w:t>发言人1 答：公司的国际收入持续增长，全年增长36%，今年第一季度增长54%。这得益于前期在多个核心糖尿病市场取得的基础建设以及抓住了二代转换成三代胰岛素的机会，使得国际市场不断增长放量。</w:t>
      </w:r>
    </w:p>
    <w:p>
      <w:r>
        <w:rPr>
          <w:rFonts w:ascii="等线(中文正文)" w:hAnsi="等线(中文正文)" w:cs="等线(中文正文)" w:eastAsia="等线(中文正文)"/>
          <w:b w:val="false"/>
          <w:i w:val="false"/>
          <w:sz w:val="20"/>
        </w:rPr>
        <w:t/>
      </w:r>
    </w:p>
    <w:p>
      <w:pPr>
        <w:pStyle w:val="ab"/>
      </w:pPr>
      <w:r>
        <w:t>发言人1 问：在国际化战略方面，公司有哪些新的进展和合作模式？公司在创新药方面是如何布局并推进合作的？</w:t>
      </w:r>
    </w:p>
    <w:p>
      <w:r>
        <w:rPr>
          <w:rFonts w:ascii="等线(中文正文)" w:hAnsi="等线(中文正文)" w:cs="等线(中文正文)" w:eastAsia="等线(中文正文)"/>
          <w:b w:val="false"/>
          <w:i w:val="false"/>
          <w:sz w:val="20"/>
        </w:rPr>
        <w:t>发言人1 答：公司在国际战略上持续推进，特别是在传统产品出海和创新药全球合作上取得积极进展。比如去年与巴西PDP项目落地，并在2025年9月份与巴西卫生部下属公立实验室及本土合作伙伴签署为期十年的技术协议，涉及累计订单金额不低于人民币30亿元，这使得巴西成为我们国际市场主力销售国家之一。我们计划在今年复制这种合作模式，尤其是在有技术需求和三代换二代需求的国家。公司以商业化为目的，分散风险，采取在各个主要区域分别合作的策略。围绕核心管线，在拉美（如巴西、墨西哥）、印度、韩国等地已签署协议，并迅速开展当地临床试验。同时，在巴西卫生部长见证下，再次签署新药合作备忘录，加强新药推进力度，通过前期渠道为全球商业化奠定基础。</w:t>
      </w:r>
    </w:p>
    <w:p>
      <w:r>
        <w:rPr>
          <w:rFonts w:ascii="等线(中文正文)" w:hAnsi="等线(中文正文)" w:cs="等线(中文正文)" w:eastAsia="等线(中文正文)"/>
          <w:b w:val="false"/>
          <w:i w:val="false"/>
          <w:sz w:val="20"/>
        </w:rPr>
        <w:t/>
      </w:r>
    </w:p>
    <w:p>
      <w:pPr>
        <w:pStyle w:val="ab"/>
      </w:pPr>
      <w:r>
        <w:t>发言人1 问：公司在海外市场的注册情况以及获批进展如何？</w:t>
      </w:r>
    </w:p>
    <w:p>
      <w:r>
        <w:rPr>
          <w:rFonts w:ascii="等线(中文正文)" w:hAnsi="等线(中文正文)" w:cs="等线(中文正文)" w:eastAsia="等线(中文正文)"/>
          <w:b w:val="false"/>
          <w:i w:val="false"/>
          <w:sz w:val="20"/>
        </w:rPr>
        <w:t>发言人1 答：公司在海外市场注册方面取得显著成绩，例如在2026年1月，甘精胰岛素在中国获得欧盟委员会上市批准，成为首款登陆欧洲市场的国产三代胰岛素。另外两款重磅产品门冬胰岛素和赖脯胰岛素也进入了最终审批阶段，预计很快将获得批准并顺利上市。</w:t>
      </w:r>
    </w:p>
    <w:p>
      <w:r>
        <w:rPr>
          <w:rFonts w:ascii="等线(中文正文)" w:hAnsi="等线(中文正文)" w:cs="等线(中文正文)" w:eastAsia="等线(中文正文)"/>
          <w:b w:val="false"/>
          <w:i w:val="false"/>
          <w:sz w:val="20"/>
        </w:rPr>
        <w:t/>
      </w:r>
    </w:p>
    <w:p>
      <w:pPr>
        <w:pStyle w:val="ab"/>
      </w:pPr>
      <w:r>
        <w:t>发言人1 问：公司在新兴市场的发展状况如何？公司研发投入及重点管线研究进展怎样？</w:t>
      </w:r>
    </w:p>
    <w:p>
      <w:r>
        <w:rPr>
          <w:rFonts w:ascii="等线(中文正文)" w:hAnsi="等线(中文正文)" w:cs="等线(中文正文)" w:eastAsia="等线(中文正文)"/>
          <w:b w:val="false"/>
          <w:i w:val="false"/>
          <w:sz w:val="20"/>
        </w:rPr>
        <w:t>发言人1 答：2025年公司在新兴市场创下了历史纪录，共获得海外批件18项，成功进入马来西亚、阿根廷、埃及等国家，即使在法规严格的国家也获得了上市批准，为未来的销量增长提供了保障。公司持续加大研发投入，多个核心项目进入关键临床实验阶段。在糖尿病及代谢领域，公司推进了GLP-1以及第四代胰岛素周制剂的产品布局，并向免疫及相关领域拓展。其中，波汉格鲁泰作为全球首个第一阶段法典的双周制剂，已在肥胖和超重肥胖合并2型糖尿病等多个适应症开展三期临床研究。此外，GD24作为国内首个基础胰岛素周制剂，三期临床研究达到主要研究终点，展现出显著优效性。公司还在布局迭代产品，包括每三个月给药一次的季度制剂和每周给药一次的口服多肽制剂，以及基于多靶点组合的产品，以完善更具差异化的CLBY产品组合体系。</w:t>
      </w:r>
    </w:p>
    <w:p>
      <w:r>
        <w:rPr>
          <w:rFonts w:ascii="等线(中文正文)" w:hAnsi="等线(中文正文)" w:cs="等线(中文正文)" w:eastAsia="等线(中文正文)"/>
          <w:b w:val="false"/>
          <w:i w:val="false"/>
          <w:sz w:val="20"/>
        </w:rPr>
        <w:t/>
      </w:r>
    </w:p>
    <w:p>
      <w:pPr>
        <w:pStyle w:val="ab"/>
      </w:pPr>
      <w:r>
        <w:t>发言人1 问：公司新产品的海外临床进展及国内上市时间预期如何？</w:t>
      </w:r>
    </w:p>
    <w:p>
      <w:r>
        <w:rPr>
          <w:rFonts w:ascii="等线(中文正文)" w:hAnsi="等线(中文正文)" w:cs="等线(中文正文)" w:eastAsia="等线(中文正文)"/>
          <w:b w:val="false"/>
          <w:i w:val="false"/>
          <w:sz w:val="20"/>
        </w:rPr>
        <w:t>发言人1 答：我们的胰岛素周制剂GCR4已取得积极进展。目前，两个三期临床试验（301和302）已拿到26周主要疗效终点数据，第三个三期临床试验303将在今年二季度末获取最终疗效数据。301实验为期52周，预计今年11月完成安全期研究并得到总结报告，随后计划在年底提交上市注册申请。</w:t>
      </w:r>
    </w:p>
    <w:p>
      <w:r>
        <w:rPr>
          <w:rFonts w:ascii="等线(中文正文)" w:hAnsi="等线(中文正文)" w:cs="等线(中文正文)" w:eastAsia="等线(中文正文)"/>
          <w:b w:val="false"/>
          <w:i w:val="false"/>
          <w:sz w:val="20"/>
        </w:rPr>
        <w:t/>
      </w:r>
    </w:p>
    <w:p>
      <w:pPr>
        <w:pStyle w:val="ab"/>
      </w:pPr>
      <w:r>
        <w:t>发言人1 问：胰岛素注射剂GCR4在海外的临床实验情况如何？</w:t>
      </w:r>
    </w:p>
    <w:p>
      <w:r>
        <w:rPr>
          <w:rFonts w:ascii="等线(中文正文)" w:hAnsi="等线(中文正文)" w:cs="等线(中文正文)" w:eastAsia="等线(中文正文)"/>
          <w:b w:val="false"/>
          <w:i w:val="false"/>
          <w:sz w:val="20"/>
        </w:rPr>
        <w:t>发言人1 答：在德国进行的课堂添加实验已经完成，相关研究结果将在今年9月份的ESD会议上做口头报告。在顺利沟通的前提下，预计在今年3到4季度启动全球三期临床试验。</w:t>
      </w:r>
    </w:p>
    <w:p>
      <w:r>
        <w:rPr>
          <w:rFonts w:ascii="等线(中文正文)" w:hAnsi="等线(中文正文)" w:cs="等线(中文正文)" w:eastAsia="等线(中文正文)"/>
          <w:b w:val="false"/>
          <w:i w:val="false"/>
          <w:sz w:val="20"/>
        </w:rPr>
        <w:t/>
      </w:r>
    </w:p>
    <w:p>
      <w:pPr>
        <w:pStyle w:val="ab"/>
      </w:pPr>
      <w:r>
        <w:t>发言人1 问：海外新兴市场的全年增速及巴西市场贡献如何？</w:t>
      </w:r>
    </w:p>
    <w:p>
      <w:r>
        <w:rPr>
          <w:rFonts w:ascii="等线(中文正文)" w:hAnsi="等线(中文正文)" w:cs="等线(中文正文)" w:eastAsia="等线(中文正文)"/>
          <w:b w:val="false"/>
          <w:i w:val="false"/>
          <w:sz w:val="20"/>
        </w:rPr>
        <w:t>发言人1 答：（未给出明确回答，需根据实际情况提问）</w:t>
      </w:r>
    </w:p>
    <w:p>
      <w:r>
        <w:rPr>
          <w:rFonts w:ascii="等线(中文正文)" w:hAnsi="等线(中文正文)" w:cs="等线(中文正文)" w:eastAsia="等线(中文正文)"/>
          <w:b w:val="false"/>
          <w:i w:val="false"/>
          <w:sz w:val="20"/>
        </w:rPr>
        <w:t/>
      </w:r>
    </w:p>
    <w:p>
      <w:pPr>
        <w:pStyle w:val="ab"/>
      </w:pPr>
      <w:r>
        <w:t>发言人1 问：我们如何评估GDR4相较于诺和诺德预购价格的差异化优势？</w:t>
      </w:r>
    </w:p>
    <w:p>
      <w:r>
        <w:rPr>
          <w:rFonts w:ascii="等线(中文正文)" w:hAnsi="等线(中文正文)" w:cs="等线(中文正文)" w:eastAsia="等线(中文正文)"/>
          <w:b w:val="false"/>
          <w:i w:val="false"/>
          <w:sz w:val="20"/>
        </w:rPr>
        <w:t>发言人1 答：GDR4在机制上有创新突破，其分子结构改构后能直接激活胰岛素受体并起效，这与诺和诺德的产品有显著区别。具体表现为活性提升约2到3倍，给药剂量可能减少约三分之二；起效更快，1-2次即可迅速达到稳态；操作更便捷，无需额外的loading dose；且药物变异度低，血药浓度平稳，低血糖发生率与甘精胰岛素相当。这些差异化优势使GDR4具有竞争力。</w:t>
      </w:r>
    </w:p>
    <w:p>
      <w:r>
        <w:rPr>
          <w:rFonts w:ascii="等线(中文正文)" w:hAnsi="等线(中文正文)" w:cs="等线(中文正文)" w:eastAsia="等线(中文正文)"/>
          <w:b w:val="false"/>
          <w:i w:val="false"/>
          <w:sz w:val="20"/>
        </w:rPr>
        <w:t/>
      </w:r>
    </w:p>
    <w:p>
      <w:pPr>
        <w:pStyle w:val="ab"/>
      </w:pPr>
      <w:r>
        <w:t>发言人1 问：2026年国际市场的增长情况如何？具体数字能否透露？另外，哪些市场对于产品更新换代有显著需求？</w:t>
      </w:r>
    </w:p>
    <w:p>
      <w:r>
        <w:rPr>
          <w:rFonts w:ascii="等线(中文正文)" w:hAnsi="等线(中文正文)" w:cs="等线(中文正文)" w:eastAsia="等线(中文正文)"/>
          <w:b w:val="false"/>
          <w:i w:val="false"/>
          <w:sz w:val="20"/>
        </w:rPr>
        <w:t>发言人1 答：2026年国际市场的增长预期是可观的，尽管具体数字不便公开，但全球市场的增量明显。例如，一些大型糖尿病市场如诺和、来德的二代胰岛素供应不足，我们计划通过推广三代胰岛素进行产品更新换代，利用我们的价格优势和产量完成替代。巴西市场增长尤为显著，去年收入占国际市场收入近20%，今年预计会提升至40%至50%。</w:t>
      </w:r>
    </w:p>
    <w:p>
      <w:r>
        <w:rPr>
          <w:rFonts w:ascii="等线(中文正文)" w:hAnsi="等线(中文正文)" w:cs="等线(中文正文)" w:eastAsia="等线(中文正文)"/>
          <w:b w:val="false"/>
          <w:i w:val="false"/>
          <w:sz w:val="20"/>
        </w:rPr>
        <w:t/>
      </w:r>
    </w:p>
    <w:p>
      <w:pPr>
        <w:pStyle w:val="ab"/>
      </w:pPr>
      <w:r>
        <w:t>发言人1 问：除了巴西之外，哪些地区市场可能贡献相对可观的业绩？</w:t>
      </w:r>
    </w:p>
    <w:p>
      <w:r>
        <w:rPr>
          <w:rFonts w:ascii="等线(中文正文)" w:hAnsi="等线(中文正文)" w:cs="等线(中文正文)" w:eastAsia="等线(中文正文)"/>
          <w:b w:val="false"/>
          <w:i w:val="false"/>
          <w:sz w:val="20"/>
        </w:rPr>
        <w:t>发言人1 答：除了巴西，欧洲市场也是我们关注的重点。预计今年第四季度，随着肝经和赖普门冬等主打品种在欧洲获批并推进商业化，将会有正式的欧洲市场商业化活动。明年，普门中可能作为第二波核心产品登陆欧洲。同时，亚太区、印度、印尼以及新注册的马来西亚等核心糖尿病市场都在不断增长。拉美地区以巴西为首，加上阿根廷、墨西哥、哥伦比亚等国家也有望贡献业绩。非洲市场尤其是黑非洲地区也在积极推进商业化进程，而中东沙特等国由于注册时间问题，虽需一定时间，但随着欧盟批件的获取，注册进程将加速。</w:t>
      </w:r>
    </w:p>
    <w:p>
      <w:r>
        <w:rPr>
          <w:rFonts w:ascii="等线(中文正文)" w:hAnsi="等线(中文正文)" w:cs="等线(中文正文)" w:eastAsia="等线(中文正文)"/>
          <w:b w:val="false"/>
          <w:i w:val="false"/>
          <w:sz w:val="20"/>
        </w:rPr>
        <w:t/>
      </w:r>
    </w:p>
    <w:p>
      <w:pPr>
        <w:pStyle w:val="ab"/>
      </w:pPr>
      <w:r>
        <w:t>发言人1 问：一季度增值税率切换对收入端的影响能否量化评价？后续几个季度的影响趋势如何？一季度许可收入的主要构成是什么？后续有哪些潜在的许可收入来源？</w:t>
      </w:r>
    </w:p>
    <w:p>
      <w:r>
        <w:rPr>
          <w:rFonts w:ascii="等线(中文正文)" w:hAnsi="等线(中文正文)" w:cs="等线(中文正文)" w:eastAsia="等线(中文正文)"/>
          <w:b w:val="false"/>
          <w:i w:val="false"/>
          <w:sz w:val="20"/>
        </w:rPr>
        <w:t>发言人1 答：增值税率切换对公司收入端的影响是负9%，利润端的影响则取决于全年进项税抵扣情况，因为人力成本等无法抵扣项的存在，利润端影响相比收入端会小一些，但具体程度还需看进项税抵扣的实际表现。公司预计整体负面影响会在全年通过积极拓展国内外市场得以消化。一季度的许可收入主要来源于拉美和印度地区，而韩国收入预计会在第二季度进入二季度报表。</w:t>
      </w:r>
    </w:p>
    <w:p>
      <w:r>
        <w:rPr>
          <w:rFonts w:ascii="等线(中文正文)" w:hAnsi="等线(中文正文)" w:cs="等线(中文正文)" w:eastAsia="等线(中文正文)"/>
          <w:b w:val="false"/>
          <w:i w:val="false"/>
          <w:sz w:val="20"/>
        </w:rPr>
        <w:t/>
      </w:r>
    </w:p>
    <w:p>
      <w:pPr>
        <w:pStyle w:val="ab"/>
      </w:pPr>
      <w:r>
        <w:t>发言人1 问：关于protect平台的技术特点以及2037相较于其他AR protect上的差异点是什么？</w:t>
      </w:r>
    </w:p>
    <w:p>
      <w:r>
        <w:rPr>
          <w:rFonts w:ascii="等线(中文正文)" w:hAnsi="等线(中文正文)" w:cs="等线(中文正文)" w:eastAsia="等线(中文正文)"/>
          <w:b w:val="false"/>
          <w:i w:val="false"/>
          <w:sz w:val="20"/>
        </w:rPr>
        <w:t>发言人1 答：protect平台是公司为了提升未来营收能力并寻找第二增长曲线而搭建的技术平台。相较于其他AR protect技术，甘犁在国内布局领先，团队经过六年的持续投入和优化，现已拥有近百人的早研研发团队。目前的甘犁技术平台在多肽药物领域处于国内领先地位，旨在进一步增强公司的竞争力和发展潜力。</w:t>
      </w:r>
    </w:p>
    <w:p>
      <w:r>
        <w:rPr>
          <w:rFonts w:ascii="等线(中文正文)" w:hAnsi="等线(中文正文)" w:cs="等线(中文正文)" w:eastAsia="等线(中文正文)"/>
          <w:b w:val="false"/>
          <w:i w:val="false"/>
          <w:sz w:val="20"/>
        </w:rPr>
        <w:t/>
      </w:r>
    </w:p>
    <w:p>
      <w:pPr>
        <w:pStyle w:val="ab"/>
      </w:pPr>
      <w:r>
        <w:t>发言人1 问：2037这个基于AR靶点的protect产品目前临床进展如何？</w:t>
      </w:r>
    </w:p>
    <w:p>
      <w:r>
        <w:rPr>
          <w:rFonts w:ascii="等线(中文正文)" w:hAnsi="等线(中文正文)" w:cs="等线(中文正文)" w:eastAsia="等线(中文正文)"/>
          <w:b w:val="false"/>
          <w:i w:val="false"/>
          <w:sz w:val="20"/>
        </w:rPr>
        <w:t>发言人1 答：2037产品已顺利获得临床批件并在一个月内启动并完成了首例受者入住，现处于单剂量爬坡的快速期。相较于同类产品，在临床前动物实验上显示出显著疗效提升。</w:t>
      </w:r>
    </w:p>
    <w:p>
      <w:r>
        <w:rPr>
          <w:rFonts w:ascii="等线(中文正文)" w:hAnsi="等线(中文正文)" w:cs="等线(中文正文)" w:eastAsia="等线(中文正文)"/>
          <w:b w:val="false"/>
          <w:i w:val="false"/>
          <w:sz w:val="20"/>
        </w:rPr>
        <w:t/>
      </w:r>
    </w:p>
    <w:p>
      <w:pPr>
        <w:pStyle w:val="ab"/>
      </w:pPr>
      <w:r>
        <w:t>发言人1 问：除了2037之外，公司基于该技术平台的重点布局品种有哪些？</w:t>
      </w:r>
    </w:p>
    <w:p>
      <w:r>
        <w:rPr>
          <w:rFonts w:ascii="等线(中文正文)" w:hAnsi="等线(中文正文)" w:cs="等线(中文正文)" w:eastAsia="等线(中文正文)"/>
          <w:b w:val="false"/>
          <w:i w:val="false"/>
          <w:sz w:val="20"/>
        </w:rPr>
        <w:t>发言人1 答：公司还重点布局了一些自免靶点的产品，预计今年会有产品提交IND申请，这些产品在自免领域相较于肿瘤产品具有更明显的差异化竞争优势。</w:t>
      </w:r>
    </w:p>
    <w:p>
      <w:r>
        <w:rPr>
          <w:rFonts w:ascii="等线(中文正文)" w:hAnsi="等线(中文正文)" w:cs="等线(中文正文)" w:eastAsia="等线(中文正文)"/>
          <w:b w:val="false"/>
          <w:i w:val="false"/>
          <w:sz w:val="20"/>
        </w:rPr>
        <w:t/>
      </w:r>
    </w:p>
    <w:p>
      <w:pPr>
        <w:pStyle w:val="ab"/>
      </w:pPr>
      <w:r>
        <w:t>发言人1 问：甘犁的protect技术平台的主要优势是什么？</w:t>
      </w:r>
    </w:p>
    <w:p>
      <w:r>
        <w:rPr>
          <w:rFonts w:ascii="等线(中文正文)" w:hAnsi="等线(中文正文)" w:cs="等线(中文正文)" w:eastAsia="等线(中文正文)"/>
          <w:b w:val="false"/>
          <w:i w:val="false"/>
          <w:sz w:val="20"/>
        </w:rPr>
        <w:t>发言人1 答：该平台的主要优势在于自主建设的一系列专利配比库，这些分子拥有自主知识产权，能够高效产出针对新靶点的创新药物分子。</w:t>
      </w:r>
    </w:p>
    <w:p>
      <w:r>
        <w:rPr>
          <w:rFonts w:ascii="等线(中文正文)" w:hAnsi="等线(中文正文)" w:cs="等线(中文正文)" w:eastAsia="等线(中文正文)"/>
          <w:b w:val="false"/>
          <w:i w:val="false"/>
          <w:sz w:val="20"/>
        </w:rPr>
        <w:t/>
      </w:r>
    </w:p>
    <w:p>
      <w:pPr>
        <w:pStyle w:val="ab"/>
      </w:pPr>
      <w:r>
        <w:t>发言人1 问：公司对于GDR18品种未来全球化开发注册规划及关键里程碑是什么？公司对于GDR18全球销售规模有何指引？</w:t>
      </w:r>
    </w:p>
    <w:p>
      <w:r>
        <w:rPr>
          <w:rFonts w:ascii="等线(中文正文)" w:hAnsi="等线(中文正文)" w:cs="等线(中文正文)" w:eastAsia="等线(中文正文)"/>
          <w:b w:val="false"/>
          <w:i w:val="false"/>
          <w:sz w:val="20"/>
        </w:rPr>
        <w:t>发言人1 答：GDR18在国内针对减重的三期临床试验预计下个月有数据读出，并计划在今年三季度提交上市申请；针对糖尿病的两个三期临床试验会在今年四季度完成，预计明年一季度提交上市注册申请。国外针对减重的二期临床试验已开始，并将在获得数据后申请开展三期临床。GDR18是GLP-1类减重药物，市场容量巨大，全球预估未来可达2000亿美元。公司采用国际战略，在全球范围内寻找优势合作企业，尤其是欧美市场将通过补充欧美数据来增强产品竞争力。中国最早可能于明年上市，国际市场预计2029年上市。公司有一个五年的规划，初步对上市几年的营业额做了乐观规划。</w:t>
      </w:r>
    </w:p>
    <w:p>
      <w:r>
        <w:rPr>
          <w:rFonts w:ascii="等线(中文正文)" w:hAnsi="等线(中文正文)" w:cs="等线(中文正文)" w:eastAsia="等线(中文正文)"/>
          <w:b w:val="false"/>
          <w:i w:val="false"/>
          <w:sz w:val="20"/>
        </w:rPr>
        <w:t/>
      </w:r>
    </w:p>
    <w:p>
      <w:pPr>
        <w:pStyle w:val="ab"/>
      </w:pPr>
      <w:r>
        <w:t>发言人1 问：什么时候能看到pro tech平台反哺现金流并创造收益，以及山东产能释放情况如何？</w:t>
      </w:r>
    </w:p>
    <w:p>
      <w:r>
        <w:rPr>
          <w:rFonts w:ascii="等线(中文正文)" w:hAnsi="等线(中文正文)" w:cs="等线(中文正文)" w:eastAsia="等线(中文正文)"/>
          <w:b w:val="false"/>
          <w:i w:val="false"/>
          <w:sz w:val="20"/>
        </w:rPr>
        <w:t>发言人1 答：创新药研发周期较长，大约需要十年才能通过产品上市产生营收。但目前公司已组建强大的BD团队，积极寻求海外商业化合作以实现早期变现。关于产能释放，山东产线已按照市场需求提前布局，随着新药上市和市场增量，产能将逐步释放，支持整体放量。</w:t>
      </w:r>
    </w:p>
    <w:p>
      <w:r>
        <w:rPr>
          <w:rFonts w:ascii="等线(中文正文)" w:hAnsi="等线(中文正文)" w:cs="等线(中文正文)" w:eastAsia="等线(中文正文)"/>
          <w:b w:val="false"/>
          <w:i w:val="false"/>
          <w:sz w:val="20"/>
        </w:rPr>
        <w:t/>
      </w:r>
    </w:p>
    <w:p>
      <w:pPr>
        <w:pStyle w:val="ab"/>
      </w:pPr>
      <w:r>
        <w:t>发言人1 问：一季度国内外产品生产切换对实际产能的影响具体是怎么样的？展望二季度之后是否还有影响？26年的里程碑收入预期大概什么时间点确认？</w:t>
      </w:r>
    </w:p>
    <w:p>
      <w:r>
        <w:rPr>
          <w:rFonts w:ascii="等线(中文正文)" w:hAnsi="等线(中文正文)" w:cs="等线(中文正文)" w:eastAsia="等线(中文正文)"/>
          <w:b w:val="false"/>
          <w:i w:val="false"/>
          <w:sz w:val="20"/>
        </w:rPr>
        <w:t>发言人1 答：切换确实有影响，每次切换需要清洁并浪费有效生产天数。随着山东获批品种增多，国内产能将逐渐转移到山东，北京主要供应国际市场，减少切换并放大批量。山东供应国内市场，预计今年一季度受一定影响，二季度恢复，下半年恢复正常。关于2026年里程碑收入预期的时间点确认，它与BD相关，具有偶然性，已公布的韩国项目首付款会在二季度确认，后续根据BD情况按会计准则及时确认，并会及时进行信息披露。</w:t>
      </w:r>
    </w:p>
    <w:p>
      <w:r>
        <w:rPr>
          <w:rFonts w:ascii="等线(中文正文)" w:hAnsi="等线(中文正文)" w:cs="等线(中文正文)" w:eastAsia="等线(中文正文)"/>
          <w:b w:val="false"/>
          <w:i w:val="false"/>
          <w:sz w:val="20"/>
        </w:rPr>
        <w:t/>
      </w:r>
    </w:p>
    <w:p>
      <w:pPr>
        <w:pStyle w:val="ab"/>
      </w:pPr>
      <w:r>
        <w:t>发言人1 问：目前技术转移的推进进度如何？这种模式是否具备可复制性，公司是否有相应的布局计划？</w:t>
      </w:r>
    </w:p>
    <w:p>
      <w:r>
        <w:rPr>
          <w:rFonts w:ascii="等线(中文正文)" w:hAnsi="等线(中文正文)" w:cs="等线(中文正文)" w:eastAsia="等线(中文正文)"/>
          <w:b w:val="false"/>
          <w:i w:val="false"/>
          <w:sz w:val="20"/>
        </w:rPr>
        <w:t>发言人1 答：巴西PDP项目的推进涉及长期的技术和建厂要求，目前与巴西卫生部下属实验室进行前期沟通和技术支持，但整个技术转移周期较长。虽然目前成功的模式主要是罐装技术转移，但此模式正在向全链条生产技术复制升级，主要针对销量大的国家和地区。公司在积极布局并复制这些成功经验。</w:t>
      </w:r>
    </w:p>
    <w:p>
      <w:r>
        <w:rPr>
          <w:rFonts w:ascii="等线(中文正文)" w:hAnsi="等线(中文正文)" w:cs="等线(中文正文)" w:eastAsia="等线(中文正文)"/>
          <w:b w:val="false"/>
          <w:i w:val="false"/>
          <w:sz w:val="20"/>
        </w:rPr>
        <w:t/>
      </w:r>
    </w:p>
    <w:p>
      <w:pPr>
        <w:pStyle w:val="ab"/>
      </w:pPr>
      <w:r>
        <w:t>发言人1 问：一季度量的增长中，不同胰岛素品种的结构性变化以及对单价的影响是什么样的？</w:t>
      </w:r>
    </w:p>
    <w:p>
      <w:r>
        <w:rPr>
          <w:rFonts w:ascii="等线(中文正文)" w:hAnsi="等线(中文正文)" w:cs="等线(中文正文)" w:eastAsia="等线(中文正文)"/>
          <w:b w:val="false"/>
          <w:i w:val="false"/>
          <w:sz w:val="20"/>
        </w:rPr>
        <w:t>发言人1 答：一季度国内制剂品种中，除了长秀霖以外，其他品种单价低于长秀霖。长秀霖销售量同比占比稍微降低，导致单价影响约为两块钱多。主要原因是常秀霖发货量占比销售量的比例略有下降。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