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星宸科技 260423_导读</w:t>
      </w:r>
    </w:p>
    <w:p>
      <w:pPr>
        <w:pStyle w:val="a0"/>
        <w:jc w:val="center"/>
      </w:pPr>
      <w:r>
        <w:t>2026年04月24日 08:50</w:t>
      </w:r>
    </w:p>
    <w:p>
      <w:pPr>
        <w:pStyle w:val="a7"/>
      </w:pPr>
      <w:r>
        <w:t>关键词</w:t>
      </w:r>
    </w:p>
    <w:p>
      <w:r>
        <w:rPr>
          <w:rFonts w:ascii="等线(中文正文)" w:hAnsi="等线(中文正文)" w:cs="等线(中文正文)" w:eastAsia="等线(中文正文)"/>
          <w:b w:val="false"/>
          <w:i w:val="false"/>
          <w:sz w:val="20"/>
        </w:rPr>
        <w:t xml:space="preserve">存储 芯片 安防 毛利率 收入增长 外挂存储 内置存储 机器人业务 IOT业务 汽车业务 产品结构 降本增效 智能化 算力 销售模式 主控芯片 板卡 硬件软件系统 库存水位 供应链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公司领导们集中讨论了销售策略、市场需求、未来方向及投资者关注的多个方面。未来，公司将重点转向提供大算力产品的综合解决方案，以增强产品价值和市场竞争力，而非单纯销售芯片。当前面临存储资源紧张，正积极解决以提升出货量。对毛利率的提升抱有厚望，预计第三季度和第四季度能稳定在良好水平，通过优化产品结构和客户协商实现。强调了AIoT、机器人和汽车业务的需求增长，以及全球市场扩张和海外收入的增加。回应投资者询问时，强调了产品结构优化和对全球市场需求增长的积极预期，未提及具体数字或直接产品信息。</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算力升级与仁川合作展望</w:t>
      </w:r>
    </w:p>
    <w:p>
      <w:r>
        <w:rPr>
          <w:rFonts w:ascii="等线(中文正文)" w:hAnsi="等线(中文正文)" w:cs="等线(中文正文)" w:eastAsia="等线(中文正文)"/>
          <w:b w:val="false"/>
          <w:i w:val="false"/>
          <w:sz w:val="20"/>
        </w:rPr>
        <w:t>会议讨论了算力中心的升级计划，强调从单一芯片销售转向大算力产品价值提升，展望与仁川合作带来的全面升级，涵盖多种应用场景。投资者提问环节中，部分技术问题导致提问未能顺利进行，后续投资者表达了对合作前景的关注。</w:t>
      </w:r>
    </w:p>
    <w:p>
      <w:r>
        <w:rPr>
          <w:rFonts w:ascii="等线(中文正文)" w:hAnsi="等线(中文正文)" w:cs="等线(中文正文)" w:eastAsia="等线(中文正文)"/>
          <w:b w:val="false"/>
          <w:i w:val="false"/>
          <w:sz w:val="20"/>
        </w:rPr>
        <w:t/>
      </w:r>
    </w:p>
    <w:p>
      <w:pPr>
        <w:pStyle w:val="ab"/>
        <w:numPr>
          <w:numId w:val="2"/>
        </w:numPr>
      </w:pPr>
      <w:r>
        <w:t>02:16 量增与毛利率提升：芯片行业面临的挑战与机遇</w:t>
      </w:r>
    </w:p>
    <w:p>
      <w:r>
        <w:rPr>
          <w:rFonts w:ascii="等线(中文正文)" w:hAnsi="等线(中文正文)" w:cs="等线(中文正文)" w:eastAsia="等线(中文正文)"/>
          <w:b w:val="false"/>
          <w:i w:val="false"/>
          <w:sz w:val="20"/>
        </w:rPr>
        <w:t>讨论了芯片销售量增长受存储影响的情况，指出安防业务因内置存储比例高而增长受限，而LT和汽车业务外挂存储较多，增长潜力更大。预计三季度安防业务将通过外挂存储设计的新芯片实现增长。毛利率受存储价格波动影响，一季度毛利率提升部分归因于价格上涨，但未来可能因存储成本上升而下降，公司正努力稳定毛利率。</w:t>
      </w:r>
    </w:p>
    <w:p>
      <w:r>
        <w:rPr>
          <w:rFonts w:ascii="等线(中文正文)" w:hAnsi="等线(中文正文)" w:cs="等线(中文正文)" w:eastAsia="等线(中文正文)"/>
          <w:b w:val="false"/>
          <w:i w:val="false"/>
          <w:sz w:val="20"/>
        </w:rPr>
        <w:t/>
      </w:r>
    </w:p>
    <w:p>
      <w:pPr>
        <w:pStyle w:val="ab"/>
        <w:numPr>
          <w:numId w:val="3"/>
        </w:numPr>
      </w:pPr>
      <w:r>
        <w:t>06:39 存储资源紧张下公司与客户共同调整产品结构应对市场需求</w:t>
      </w:r>
    </w:p>
    <w:p>
      <w:r>
        <w:rPr>
          <w:rFonts w:ascii="等线(中文正文)" w:hAnsi="等线(中文正文)" w:cs="等线(中文正文)" w:eastAsia="等线(中文正文)"/>
          <w:b w:val="false"/>
          <w:i w:val="false"/>
          <w:sz w:val="20"/>
        </w:rPr>
        <w:t>一季度公司业绩增长主要得益于存储芯片内置存储量的增加及产品结构向中高端调整，即便存储价格上升，毛利率仍有望维持稳定。下游需求增长显著，尤其是安防、机器人、IOT和汽车业务，但因存储资源有限，无法完全满足强劲需求。全球智能化趋势推动带AI产品替代传统产品，多因素叠加促进公司业绩增长。</w:t>
      </w:r>
    </w:p>
    <w:p>
      <w:r>
        <w:rPr>
          <w:rFonts w:ascii="等线(中文正文)" w:hAnsi="等线(中文正文)" w:cs="等线(中文正文)" w:eastAsia="等线(中文正文)"/>
          <w:b w:val="false"/>
          <w:i w:val="false"/>
          <w:sz w:val="20"/>
        </w:rPr>
        <w:t/>
      </w:r>
    </w:p>
    <w:p>
      <w:pPr>
        <w:pStyle w:val="ab"/>
        <w:numPr>
          <w:numId w:val="4"/>
        </w:numPr>
      </w:pPr>
      <w:r>
        <w:t>11:16 公司收入结构与未来增长点分析</w:t>
      </w:r>
    </w:p>
    <w:p>
      <w:r>
        <w:rPr>
          <w:rFonts w:ascii="等线(中文正文)" w:hAnsi="等线(中文正文)" w:cs="等线(中文正文)" w:eastAsia="等线(中文正文)"/>
          <w:b w:val="false"/>
          <w:i w:val="false"/>
          <w:sz w:val="20"/>
        </w:rPr>
        <w:t>讨论了公司一季度收入结构变化，强调了安防、L、汽车三大领域占比，指出AIoT尤其是国内市场的快速成长，安防业务保持稳定。未来将重点发展端侧大算力领域，预计安防收入占比将逐步降至50%以下，新应用可能增设产品线，改变销售模式，提升产品单价，期待新领域营收增长。</w:t>
      </w:r>
    </w:p>
    <w:p>
      <w:r>
        <w:rPr>
          <w:rFonts w:ascii="等线(中文正文)" w:hAnsi="等线(中文正文)" w:cs="等线(中文正文)" w:eastAsia="等线(中文正文)"/>
          <w:b w:val="false"/>
          <w:i w:val="false"/>
          <w:sz w:val="20"/>
        </w:rPr>
        <w:t/>
      </w:r>
    </w:p>
    <w:p>
      <w:pPr>
        <w:pStyle w:val="ab"/>
        <w:numPr>
          <w:numId w:val="5"/>
        </w:numPr>
      </w:pPr>
      <w:r>
        <w:t>15:15 安防行业需求分析与市场预期</w:t>
      </w:r>
    </w:p>
    <w:p>
      <w:r>
        <w:rPr>
          <w:rFonts w:ascii="等线(中文正文)" w:hAnsi="等线(中文正文)" w:cs="等线(中文正文)" w:eastAsia="等线(中文正文)"/>
          <w:b w:val="false"/>
          <w:i w:val="false"/>
          <w:sz w:val="20"/>
        </w:rPr>
        <w:t>对话深入探讨了安防行业一季度需求旺盛的原因，指出全球新兴国家4G/5G普及与智能家居需求激增是To C市场增长的关键，而AI降本增效推动To B市场持续高增长，To G市场则因公共设施改造需求复苏。库存控制严格，未见囤货现象。To C市场占比超过60%，To G市场虽有复苏但仍基数较小。</w:t>
      </w:r>
    </w:p>
    <w:p>
      <w:r>
        <w:rPr>
          <w:rFonts w:ascii="等线(中文正文)" w:hAnsi="等线(中文正文)" w:cs="等线(中文正文)" w:eastAsia="等线(中文正文)"/>
          <w:b w:val="false"/>
          <w:i w:val="false"/>
          <w:sz w:val="20"/>
        </w:rPr>
        <w:t/>
      </w:r>
    </w:p>
    <w:p>
      <w:pPr>
        <w:pStyle w:val="ab"/>
        <w:numPr>
          <w:numId w:val="6"/>
        </w:numPr>
      </w:pPr>
      <w:r>
        <w:t>19:38 海外业务占比与汇兑影响分析</w:t>
      </w:r>
    </w:p>
    <w:p>
      <w:r>
        <w:rPr>
          <w:rFonts w:ascii="等线(中文正文)" w:hAnsi="等线(中文正文)" w:cs="等线(中文正文)" w:eastAsia="等线(中文正文)"/>
          <w:b w:val="false"/>
          <w:i w:val="false"/>
          <w:sz w:val="20"/>
        </w:rPr>
        <w:t>讨论了海外业务在一季度的收入占比，包括直接与间接部分，指出海外业务整体占比超过一半，直接部分占比20%以上，预计未来占比将维持在25%左右。提及汇兑对一季度收入影响较小，基本损益两平。强调了与海外大客户合作紧密，预测海外市场占有率增速可能高于国内。</w:t>
      </w:r>
    </w:p>
    <w:p>
      <w:r>
        <w:rPr>
          <w:rFonts w:ascii="等线(中文正文)" w:hAnsi="等线(中文正文)" w:cs="等线(中文正文)" w:eastAsia="等线(中文正文)"/>
          <w:b w:val="false"/>
          <w:i w:val="false"/>
          <w:sz w:val="20"/>
        </w:rPr>
        <w:t/>
      </w:r>
    </w:p>
    <w:p>
      <w:pPr>
        <w:pStyle w:val="ab"/>
        <w:numPr>
          <w:numId w:val="7"/>
        </w:numPr>
      </w:pPr>
      <w:r>
        <w:t>22:31 公司毛利率提升策略与下游产品分析</w:t>
      </w:r>
    </w:p>
    <w:p>
      <w:r>
        <w:rPr>
          <w:rFonts w:ascii="等线(中文正文)" w:hAnsi="等线(中文正文)" w:cs="等线(中文正文)" w:eastAsia="等线(中文正文)"/>
          <w:b w:val="false"/>
          <w:i w:val="false"/>
          <w:sz w:val="20"/>
        </w:rPr>
        <w:t>会议讨论了毛利率提升的原因，强调了公司通过战略性定价策略，选择有潜力的客户和市场，尤其是海外和国内新目标市场，以优化产品和客户结构。虽然无法精确划分各下游产品毛利率，但整体趋势显示毛利水平有所回升，中高阶产品和存储产品表现较好。公司预计未来盈利能力将持续保持在较高水平，并有信心通过新产品迭代和供应链稳固，实现业绩稳定增长。</w:t>
      </w:r>
    </w:p>
    <w:p>
      <w:r>
        <w:rPr>
          <w:rFonts w:ascii="等线(中文正文)" w:hAnsi="等线(中文正文)" w:cs="等线(中文正文)" w:eastAsia="等线(中文正文)"/>
          <w:b w:val="false"/>
          <w:i w:val="false"/>
          <w:sz w:val="20"/>
        </w:rPr>
        <w:t/>
      </w:r>
    </w:p>
    <w:p>
      <w:pPr>
        <w:pStyle w:val="a7"/>
      </w:pPr>
      <w:r>
        <w:t>发言总结</w:t>
      </w:r>
    </w:p>
    <w:p>
      <w:pPr>
        <w:pStyle w:val="ab"/>
        <w:numPr>
          <w:numId w:val="8"/>
        </w:numPr>
      </w:pPr>
      <w:r>
        <w:t>发言人1</w:t>
      </w:r>
    </w:p>
    <w:p>
      <w:r>
        <w:rPr>
          <w:rFonts w:ascii="等线(中文正文)" w:hAnsi="等线(中文正文)" w:cs="等线(中文正文)" w:eastAsia="等线(中文正文)"/>
          <w:b w:val="false"/>
          <w:i w:val="false"/>
          <w:sz w:val="20"/>
        </w:rPr>
        <w:t>着重讨论了公司未来的发展战略，强调了与仁川合作对推动新城全面升级的重要性，以及公司转型为提供综合解决方案以适应市场对大算力需求的趋势。他指出，过去公司主要销售单一芯片产品，未来将转向更高价值的综合解决方案，以提升产品竞争力和市场份额。此外，他高度关注投资者提问，通过多种渠道回答了关于业绩增长、毛利率、产品结构调整及国际市场需求等问题，展示了公司面对存储资源挑战时的积极策略，即优化产品结构和客户布局，以维持健康的毛利率和业务增长。他同时回应了毛利率提升的原因、不同产品线毛利率差异，以及对未来市场需求的乐观预期，体现了对公司未来发展的信心及对投资者的重视。</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问：毛利率大幅提升的主要原因是什么？存储价格的波动如何影响毛利率？未来几个季度毛利率趋势如何？</w:t>
      </w:r>
    </w:p>
    <w:p>
      <w:r>
        <w:rPr>
          <w:rFonts w:ascii="等线(中文正文)" w:hAnsi="等线(中文正文)" w:cs="等线(中文正文)" w:eastAsia="等线(中文正文)"/>
          <w:b w:val="false"/>
          <w:i w:val="false"/>
          <w:sz w:val="20"/>
        </w:rPr>
        <w:t>发言人1 答：毛利率提升主要受存储影响，尤其是内置存储芯片。虽然存储数量还在努力增加，但已看到毛利率在三季度、四季度趋于稳定并保持在一个不错水平的积极趋势。此外，毛利率增长还来自产品结构的调整，中高端芯片需求增加使得利润进一步叠加增长。至于后续，即使存储价格继续上涨，通过与客户的协商以及产品结构持续向中高端倾斜，预计毛利率可以维持住一个合理的水平。</w:t>
      </w:r>
    </w:p>
    <w:p>
      <w:r>
        <w:rPr>
          <w:rFonts w:ascii="等线(中文正文)" w:hAnsi="等线(中文正文)" w:cs="等线(中文正文)" w:eastAsia="等线(中文正文)"/>
          <w:b w:val="false"/>
          <w:i w:val="false"/>
          <w:sz w:val="20"/>
        </w:rPr>
        <w:t/>
      </w:r>
    </w:p>
    <w:p>
      <w:pPr>
        <w:pStyle w:val="ab"/>
      </w:pPr>
      <w:r>
        <w:t>发言人1 问：一季度毛利率的提升是否与存储价格涨幅较大有关？一季度利润增长中，存储和产品结构调整分别贡献了多少？以及后续毛利率是否会因存储成本上升而下降？</w:t>
      </w:r>
    </w:p>
    <w:p>
      <w:r>
        <w:rPr>
          <w:rFonts w:ascii="等线(中文正文)" w:hAnsi="等线(中文正文)" w:cs="等线(中文正文)" w:eastAsia="等线(中文正文)"/>
          <w:b w:val="false"/>
          <w:i w:val="false"/>
          <w:sz w:val="20"/>
        </w:rPr>
        <w:t>发言人1 答：一季度的余额和利润增长主要来自两个方面：一是存储的影响，由于大量内置存储芯片，水涨船高，涨幅较高；二是产品结构调整，面对存储资源紧张，优先将存储用于中高端芯片，同时客人在购买后也倾向于使用在中高端产品上，进一步推高了整体利润水平。存储价格即便在三季度四季度继续上涨，预计SOC价格仍能持续上涨，且整个产业都在调整产品结构，中高端产品将成为主流，因此毛利率稳定并维持在一个合理的水平问题不大。</w:t>
      </w:r>
    </w:p>
    <w:p>
      <w:r>
        <w:rPr>
          <w:rFonts w:ascii="等线(中文正文)" w:hAnsi="等线(中文正文)" w:cs="等线(中文正文)" w:eastAsia="等线(中文正文)"/>
          <w:b w:val="false"/>
          <w:i w:val="false"/>
          <w:sz w:val="20"/>
        </w:rPr>
        <w:t/>
      </w:r>
    </w:p>
    <w:p>
      <w:pPr>
        <w:pStyle w:val="ab"/>
      </w:pPr>
      <w:r>
        <w:t>发言人1 问：刚才提到的to C2B to g的结构中，To C部分大概占比是多少？</w:t>
      </w:r>
    </w:p>
    <w:p>
      <w:r>
        <w:rPr>
          <w:rFonts w:ascii="等线(中文正文)" w:hAnsi="等线(中文正文)" w:cs="等线(中文正文)" w:eastAsia="等线(中文正文)"/>
          <w:b w:val="false"/>
          <w:i w:val="false"/>
          <w:sz w:val="20"/>
        </w:rPr>
        <w:t>发言人1 答：To C部分至少在我公司占绝对大头，过半是没有任何问题的，甚至可能达到6成。而投资事业虽然不多，但由于三年前未改造的需求复苏较快，基数较小，呈现增长趋势。</w:t>
      </w:r>
    </w:p>
    <w:p>
      <w:r>
        <w:rPr>
          <w:rFonts w:ascii="等线(中文正文)" w:hAnsi="等线(中文正文)" w:cs="等线(中文正文)" w:eastAsia="等线(中文正文)"/>
          <w:b w:val="false"/>
          <w:i w:val="false"/>
          <w:sz w:val="20"/>
        </w:rPr>
        <w:t/>
      </w:r>
    </w:p>
    <w:p>
      <w:pPr>
        <w:pStyle w:val="ab"/>
      </w:pPr>
      <w:r>
        <w:t>发言人1 问：从一季度来看，海外收入占比大概是多少？同时，一季度因汇兑损失大约有多少？</w:t>
      </w:r>
    </w:p>
    <w:p>
      <w:r>
        <w:rPr>
          <w:rFonts w:ascii="等线(中文正文)" w:hAnsi="等线(中文正文)" w:cs="等线(中文正文)" w:eastAsia="等线(中文正文)"/>
          <w:b w:val="false"/>
          <w:i w:val="false"/>
          <w:sz w:val="20"/>
        </w:rPr>
        <w:t>发言人1 答：关于海外收入占比和汇兑损失的具体数额，请肖总来回答。</w:t>
      </w:r>
    </w:p>
    <w:p>
      <w:r>
        <w:rPr>
          <w:rFonts w:ascii="等线(中文正文)" w:hAnsi="等线(中文正文)" w:cs="等线(中文正文)" w:eastAsia="等线(中文正文)"/>
          <w:b w:val="false"/>
          <w:i w:val="false"/>
          <w:sz w:val="20"/>
        </w:rPr>
        <w:t/>
      </w:r>
    </w:p>
    <w:p>
      <w:pPr>
        <w:pStyle w:val="ab"/>
      </w:pPr>
      <w:r>
        <w:t>发言人1 问：海外业务的具体情况如何？</w:t>
      </w:r>
    </w:p>
    <w:p>
      <w:r>
        <w:rPr>
          <w:rFonts w:ascii="等线(中文正文)" w:hAnsi="等线(中文正文)" w:cs="等线(中文正文)" w:eastAsia="等线(中文正文)"/>
          <w:b w:val="false"/>
          <w:i w:val="false"/>
          <w:sz w:val="20"/>
        </w:rPr>
        <w:t>发言人1 答：我们的海外业务分为直接海外业务和间接海外业务。整体来看，包含间接业务，海外占比超过一半；按直接客户计算，今年直接海外业务占比有20%以上。随着国内AIoT爆发速度略快于海外，但下半年或明年与亚马逊等大客户的紧密合作将带来营收出货量的快速提高，预计直接海外业务占比会维持在25%左右。</w:t>
      </w:r>
    </w:p>
    <w:p>
      <w:r>
        <w:rPr>
          <w:rFonts w:ascii="等线(中文正文)" w:hAnsi="等线(中文正文)" w:cs="等线(中文正文)" w:eastAsia="等线(中文正文)"/>
          <w:b w:val="false"/>
          <w:i w:val="false"/>
          <w:sz w:val="20"/>
        </w:rPr>
        <w:t/>
      </w:r>
    </w:p>
    <w:p>
      <w:pPr>
        <w:pStyle w:val="ab"/>
      </w:pPr>
      <w:r>
        <w:t>发言人1 问：汇兑方面的情况如何？</w:t>
      </w:r>
    </w:p>
    <w:p>
      <w:r>
        <w:rPr>
          <w:rFonts w:ascii="等线(中文正文)" w:hAnsi="等线(中文正文)" w:cs="等线(中文正文)" w:eastAsia="等线(中文正文)"/>
          <w:b w:val="false"/>
          <w:i w:val="false"/>
          <w:sz w:val="20"/>
        </w:rPr>
        <w:t>发言人1 答：今年一季度，汇兑对我们来说基本实现损益两平，因为主要以国内销售为主，美元部位不大，所以美元贬值对我们的影响不大。</w:t>
      </w:r>
    </w:p>
    <w:p>
      <w:r>
        <w:rPr>
          <w:rFonts w:ascii="等线(中文正文)" w:hAnsi="等线(中文正文)" w:cs="等线(中文正文)" w:eastAsia="等线(中文正文)"/>
          <w:b w:val="false"/>
          <w:i w:val="false"/>
          <w:sz w:val="20"/>
        </w:rPr>
        <w:t/>
      </w:r>
    </w:p>
    <w:p>
      <w:pPr>
        <w:pStyle w:val="ab"/>
      </w:pPr>
      <w:r>
        <w:t>发言人1 问：毛利率提升的原因是什么？以及分下游产品或应用领域的毛利率水平如何？</w:t>
      </w:r>
    </w:p>
    <w:p>
      <w:r>
        <w:rPr>
          <w:rFonts w:ascii="等线(中文正文)" w:hAnsi="等线(中文正文)" w:cs="等线(中文正文)" w:eastAsia="等线(中文正文)"/>
          <w:b w:val="false"/>
          <w:i w:val="false"/>
          <w:sz w:val="20"/>
        </w:rPr>
        <w:t>发言人1 答：毛利率提升是因为我们在资源紧张的情况下采取了战略性定价策略，挑选有潜力的客户，并重点布局海外有代表性的大客户以及国内新切入的目标市场。整体毛利情况都有回升，中高端产品的销售占比增加，尤其是存储部分由于供需关系变化，毛利率差异变大。现在国内和海外的毛利率分布更为均衡，整体处于一个比较健康的状态。</w:t>
      </w:r>
    </w:p>
    <w:p>
      <w:r>
        <w:rPr>
          <w:rFonts w:ascii="等线(中文正文)" w:hAnsi="等线(中文正文)" w:cs="等线(中文正文)" w:eastAsia="等线(中文正文)"/>
          <w:b w:val="false"/>
          <w:i w:val="false"/>
          <w:sz w:val="20"/>
        </w:rPr>
        <w:t/>
      </w:r>
    </w:p>
    <w:p>
      <w:pPr>
        <w:pStyle w:val="ab"/>
      </w:pPr>
      <w:r>
        <w:t>发言人1 问：对于公司未来高景气度需求的延续及盈利水平，有何预期？</w:t>
      </w:r>
    </w:p>
    <w:p>
      <w:r>
        <w:rPr>
          <w:rFonts w:ascii="等线(中文正文)" w:hAnsi="等线(中文正文)" w:cs="等线(中文正文)" w:eastAsia="等线(中文正文)"/>
          <w:b w:val="false"/>
          <w:i w:val="false"/>
          <w:sz w:val="20"/>
        </w:rPr>
        <w:t>发言人1 答：我们非常看好公司后面高景气度需求的延续，预计公司能持续优化产品和客户结构，整体盈利水平将保持在较好的水位。</w:t>
      </w:r>
    </w:p>
    <w:p>
      <w:r>
        <w:rPr>
          <w:rFonts w:ascii="等线(中文正文)" w:hAnsi="等线(中文正文)" w:cs="等线(中文正文)" w:eastAsia="等线(中文正文)"/>
          <w:b w:val="false"/>
          <w:i w:val="false"/>
          <w:sz w:val="20"/>
        </w:rPr>
        <w:t/>
      </w:r>
    </w:p>
    <w:p>
      <w:pPr>
        <w:pStyle w:val="ab"/>
      </w:pPr>
      <w:r>
        <w:t>发言人1 问：对于市场对星辰仅靠存储涨价获取快钱的疑虑，公司有何回应？</w:t>
      </w:r>
    </w:p>
    <w:p>
      <w:r>
        <w:rPr>
          <w:rFonts w:ascii="等线(中文正文)" w:hAnsi="等线(中文正文)" w:cs="等线(中文正文)" w:eastAsia="等线(中文正文)"/>
          <w:b w:val="false"/>
          <w:i w:val="false"/>
          <w:sz w:val="20"/>
        </w:rPr>
        <w:t>发言人1 答：我们坚信今年会逐渐好转，毛利会维持在健康的区间，并通过综合能力体现，包括新产品更新迭代、中高阶产品结构调整以及供应链稳固等。各家后续表现能否持续稳定还需分别去看各自情况，我们有信心接下来一个季度还会用更好的成绩回报大家。</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2026-04-24T00:52:20Z</dcterms:created>
  <dc:creator>Apache POI</dc:creator>
</cp:coreProperties>
</file>