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家家悦 260421_导读</w:t>
      </w:r>
    </w:p>
    <w:p>
      <w:pPr>
        <w:pStyle w:val="a0"/>
        <w:jc w:val="center"/>
      </w:pPr>
      <w:r>
        <w:t>2026年04月23日 07:41</w:t>
      </w:r>
    </w:p>
    <w:p>
      <w:pPr>
        <w:pStyle w:val="a7"/>
      </w:pPr>
      <w:r>
        <w:t>关键词</w:t>
      </w:r>
    </w:p>
    <w:p>
      <w:r>
        <w:rPr>
          <w:rFonts w:ascii="等线(中文正文)" w:hAnsi="等线(中文正文)" w:cs="等线(中文正文)" w:eastAsia="等线(中文正文)"/>
          <w:b w:val="false"/>
          <w:i w:val="false"/>
          <w:sz w:val="20"/>
        </w:rPr>
        <w:t xml:space="preserve">调改 门店 小调改 大调改 毛利率 客流 生鲜 自有品牌 烘焙 产能利用率 品类结构 投资成本 调改目标 营收目标 商品力 加工品 通缩 省外市场 盈利 开店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在门店调整和优化策略上实施大调改和小调改，注重投资成本与预期效果，旨在提升销售额、客流和毛利率。未来发展规划包括26年的小调改工作，自有品牌发展，及烘焙工厂产能利用率的提升，预期毛利率增加。会议还讨论了省外市场拓展和新业态发展方向，强调对投资者回报的关注，包括分红比例的考虑。整体上，公司聚焦战略调整、产品优化及长远发展目标，同时重视股东利益。</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2025-2026年门店调改策略与效果分析</w:t>
      </w:r>
    </w:p>
    <w:p>
      <w:r>
        <w:rPr>
          <w:rFonts w:ascii="等线(中文正文)" w:hAnsi="等线(中文正文)" w:cs="等线(中文正文)" w:eastAsia="等线(中文正文)"/>
          <w:b w:val="false"/>
          <w:i w:val="false"/>
          <w:sz w:val="20"/>
        </w:rPr>
        <w:t>讨论了2025年门店大小调改的成本与效果，大调改成本约180万，小调改成本不超过10万，主要涉及冷链设备增加、面积压缩及购物环境优化。小调改后销售额平均增长小个位数，部分增长10%。2026年计划继续推进小调改，每年约60家，目标与2025年相似。</w:t>
      </w:r>
    </w:p>
    <w:p>
      <w:r>
        <w:rPr>
          <w:rFonts w:ascii="等线(中文正文)" w:hAnsi="等线(中文正文)" w:cs="等线(中文正文)" w:eastAsia="等线(中文正文)"/>
          <w:b w:val="false"/>
          <w:i w:val="false"/>
          <w:sz w:val="20"/>
        </w:rPr>
        <w:t/>
      </w:r>
    </w:p>
    <w:p>
      <w:pPr>
        <w:pStyle w:val="ab"/>
        <w:numPr>
          <w:numId w:val="2"/>
        </w:numPr>
      </w:pPr>
      <w:r>
        <w:t>03:02 山东市场煤电调改方案与门店销售增长分析</w:t>
      </w:r>
    </w:p>
    <w:p>
      <w:r>
        <w:rPr>
          <w:rFonts w:ascii="等线(中文正文)" w:hAnsi="等线(中文正文)" w:cs="等线(中文正文)" w:eastAsia="等线(中文正文)"/>
          <w:b w:val="false"/>
          <w:i w:val="false"/>
          <w:sz w:val="20"/>
        </w:rPr>
        <w:t>讨论了山东市场煤电调改方案在城市和乡镇店的差异化设计，以及门店调改后销售额同比增长20%-40%的情况。客流增长是主要驱动力，客单价基本持平略有提升。生鲜品类占比提升至57%-60%，加工品类如熟食、主食、烘焙增长显著，水果蔬菜稳定增长但涨幅较低。熟食、主食、烘焙在销售占比中达到15%-20%。</w:t>
      </w:r>
    </w:p>
    <w:p>
      <w:r>
        <w:rPr>
          <w:rFonts w:ascii="等线(中文正文)" w:hAnsi="等线(中文正文)" w:cs="等线(中文正文)" w:eastAsia="等线(中文正文)"/>
          <w:b w:val="false"/>
          <w:i w:val="false"/>
          <w:sz w:val="20"/>
        </w:rPr>
        <w:t/>
      </w:r>
    </w:p>
    <w:p>
      <w:pPr>
        <w:pStyle w:val="ab"/>
        <w:numPr>
          <w:numId w:val="3"/>
        </w:numPr>
      </w:pPr>
      <w:r>
        <w:t>07:08 调改计划与目标完成情况分析</w:t>
      </w:r>
    </w:p>
    <w:p>
      <w:r>
        <w:rPr>
          <w:rFonts w:ascii="等线(中文正文)" w:hAnsi="等线(中文正文)" w:cs="等线(中文正文)" w:eastAsia="等线(中文正文)"/>
          <w:b w:val="false"/>
          <w:i w:val="false"/>
          <w:sz w:val="20"/>
        </w:rPr>
        <w:t>对话围绕调改计划的进度与目标展开，提及目前已完成60余家大调改，预计26年完成四五十家，27年接近200家。强调部分门店可能通过小调改优化，核心在于环境改善、设备更新及商品结构调整，整体目标与原计划差异不大。</w:t>
      </w:r>
    </w:p>
    <w:p>
      <w:r>
        <w:rPr>
          <w:rFonts w:ascii="等线(中文正文)" w:hAnsi="等线(中文正文)" w:cs="等线(中文正文)" w:eastAsia="等线(中文正文)"/>
          <w:b w:val="false"/>
          <w:i w:val="false"/>
          <w:sz w:val="20"/>
        </w:rPr>
        <w:t/>
      </w:r>
    </w:p>
    <w:p>
      <w:pPr>
        <w:pStyle w:val="ab"/>
        <w:numPr>
          <w:numId w:val="4"/>
        </w:numPr>
      </w:pPr>
      <w:r>
        <w:t>09:21 自有品牌发展战略与规划</w:t>
      </w:r>
    </w:p>
    <w:p>
      <w:r>
        <w:rPr>
          <w:rFonts w:ascii="等线(中文正文)" w:hAnsi="等线(中文正文)" w:cs="等线(中文正文)" w:eastAsia="等线(中文正文)"/>
          <w:b w:val="false"/>
          <w:i w:val="false"/>
          <w:sz w:val="20"/>
        </w:rPr>
        <w:t>讨论了自有品牌从15.6%提升至35%-40%的长期目标，规划了未来3-5年的分阶段提升路径，预计2026年占比将达到18%左右。自有品牌涵盖食品、生鲜、杂货等多品类，SKU超过千个，综合毛利率约23%，高于外资品牌同类产品。正进行品牌整合，强化‘月之慧’定位，推进新品牌开发与旧品牌优化。</w:t>
      </w:r>
    </w:p>
    <w:p>
      <w:r>
        <w:rPr>
          <w:rFonts w:ascii="等线(中文正文)" w:hAnsi="等线(中文正文)" w:cs="等线(中文正文)" w:eastAsia="等线(中文正文)"/>
          <w:b w:val="false"/>
          <w:i w:val="false"/>
          <w:sz w:val="20"/>
        </w:rPr>
        <w:t/>
      </w:r>
    </w:p>
    <w:p>
      <w:pPr>
        <w:pStyle w:val="ab"/>
        <w:numPr>
          <w:numId w:val="5"/>
        </w:numPr>
      </w:pPr>
      <w:r>
        <w:t>14:55 烘焙工厂产能与公司效益提升分析</w:t>
      </w:r>
    </w:p>
    <w:p>
      <w:r>
        <w:rPr>
          <w:rFonts w:ascii="等线(中文正文)" w:hAnsi="等线(中文正文)" w:cs="等线(中文正文)" w:eastAsia="等线(中文正文)"/>
          <w:b w:val="false"/>
          <w:i w:val="false"/>
          <w:sz w:val="20"/>
        </w:rPr>
        <w:t>对话探讨了烘焙工厂的产能利用率现状及其对公司烘焙品类销售额和毛利率的潜在提升。当前工厂处于试生产爬坡阶段，预计今年生产量可达8000万至1亿，整体产能利用率逐步提升。工厂通过丰富门店烘焙品类、降低现场加工成本，预计烘焙毛利率可达到40%，显著增强顾客吸引力和门店整体毛利。未来产能将全面打满，对公司业绩有重大提升作用。</w:t>
      </w:r>
    </w:p>
    <w:p>
      <w:r>
        <w:rPr>
          <w:rFonts w:ascii="等线(中文正文)" w:hAnsi="等线(中文正文)" w:cs="等线(中文正文)" w:eastAsia="等线(中文正文)"/>
          <w:b w:val="false"/>
          <w:i w:val="false"/>
          <w:sz w:val="20"/>
        </w:rPr>
        <w:t/>
      </w:r>
    </w:p>
    <w:p>
      <w:pPr>
        <w:pStyle w:val="ab"/>
        <w:numPr>
          <w:numId w:val="6"/>
        </w:numPr>
      </w:pPr>
      <w:r>
        <w:t>16:54 裸采模式下商品力与毛利率结构变化分析</w:t>
      </w:r>
    </w:p>
    <w:p>
      <w:r>
        <w:rPr>
          <w:rFonts w:ascii="等线(中文正文)" w:hAnsi="等线(中文正文)" w:cs="等线(中文正文)" w:eastAsia="等线(中文正文)"/>
          <w:b w:val="false"/>
          <w:i w:val="false"/>
          <w:sz w:val="20"/>
        </w:rPr>
        <w:t>讨论了25年上半年裸采比例提升对前后台毛利率结构的影响，指出后台毛利率下降0.4至0.5个百分点，但商品毛利率提高不到一个百分点，整体综合能力提升约0.5个百分点。预计26年一季度平台毛利率略有提升，后台费用因采购量减少而降低，整体毛利率将稳定略有提升，得益于乐彩和品牌力度的加强。</w:t>
      </w:r>
    </w:p>
    <w:p>
      <w:r>
        <w:rPr>
          <w:rFonts w:ascii="等线(中文正文)" w:hAnsi="等线(中文正文)" w:cs="等线(中文正文)" w:eastAsia="等线(中文正文)"/>
          <w:b w:val="false"/>
          <w:i w:val="false"/>
          <w:sz w:val="20"/>
        </w:rPr>
        <w:t/>
      </w:r>
    </w:p>
    <w:p>
      <w:pPr>
        <w:pStyle w:val="ab"/>
        <w:numPr>
          <w:numId w:val="7"/>
        </w:numPr>
      </w:pPr>
      <w:r>
        <w:t>19:13 省外市场盈利规划与预测</w:t>
      </w:r>
    </w:p>
    <w:p>
      <w:r>
        <w:rPr>
          <w:rFonts w:ascii="等线(中文正文)" w:hAnsi="等线(中文正文)" w:cs="等线(中文正文)" w:eastAsia="等线(中文正文)"/>
          <w:b w:val="false"/>
          <w:i w:val="false"/>
          <w:sz w:val="20"/>
        </w:rPr>
        <w:t>对话围绕省外市场的盈利状况展开，指出25年上半年省外市场已大幅减亏，预计26年可实现或接近盈利状态。内蒙持续盈利，张家口一季度盈利但全年状态待观察，淮北预计27年实现盈利。整体规划目标为26年省外市场大幅减亏，27年实现全面盈利。</w:t>
      </w:r>
    </w:p>
    <w:p>
      <w:r>
        <w:rPr>
          <w:rFonts w:ascii="等线(中文正文)" w:hAnsi="等线(中文正文)" w:cs="等线(中文正文)" w:eastAsia="等线(中文正文)"/>
          <w:b w:val="false"/>
          <w:i w:val="false"/>
          <w:sz w:val="20"/>
        </w:rPr>
        <w:t/>
      </w:r>
    </w:p>
    <w:p>
      <w:pPr>
        <w:pStyle w:val="ab"/>
        <w:numPr>
          <w:numId w:val="8"/>
        </w:numPr>
      </w:pPr>
      <w:r>
        <w:t>21:29 省外与省内调改效果及规划对比</w:t>
      </w:r>
    </w:p>
    <w:p>
      <w:r>
        <w:rPr>
          <w:rFonts w:ascii="等线(中文正文)" w:hAnsi="等线(中文正文)" w:cs="等线(中文正文)" w:eastAsia="等线(中文正文)"/>
          <w:b w:val="false"/>
          <w:i w:val="false"/>
          <w:sz w:val="20"/>
        </w:rPr>
        <w:t>对话讨论了省外市场与山东省内调改效果的差异，指出省外如内蒙调改效果较好，而淮北、张家口调改数量较少。26年规划显示，省外调改将继续，但重点仍放在省内，如济南、青岛等地，同时也会关注北京、张家口等城市。整体调改效果良好，但区域间存在差异。</w:t>
      </w:r>
    </w:p>
    <w:p>
      <w:r>
        <w:rPr>
          <w:rFonts w:ascii="等线(中文正文)" w:hAnsi="等线(中文正文)" w:cs="等线(中文正文)" w:eastAsia="等线(中文正文)"/>
          <w:b w:val="false"/>
          <w:i w:val="false"/>
          <w:sz w:val="20"/>
        </w:rPr>
        <w:t/>
      </w:r>
    </w:p>
    <w:p>
      <w:pPr>
        <w:pStyle w:val="ab"/>
        <w:numPr>
          <w:numId w:val="9"/>
        </w:numPr>
      </w:pPr>
      <w:r>
        <w:t>24:02 超市业态开店与闭店计划分析</w:t>
      </w:r>
    </w:p>
    <w:p>
      <w:r>
        <w:rPr>
          <w:rFonts w:ascii="等线(中文正文)" w:hAnsi="等线(中文正文)" w:cs="等线(中文正文)" w:eastAsia="等线(中文正文)"/>
          <w:b w:val="false"/>
          <w:i w:val="false"/>
          <w:sz w:val="20"/>
        </w:rPr>
        <w:t>对话围绕超市业态的开店与闭店计划展开，提到当前环境开店已属不易，显示公司优质。计划中提及部分门店因历史原因或商圈变化需关闭，去年关闭的小母婴店较多，未来闭店数量预计减少。尽管存在物业翻新或亏损导致的闭店，但整体闭店数量将少于去年，旨在实现营收增长目标。</w:t>
      </w:r>
    </w:p>
    <w:p>
      <w:r>
        <w:rPr>
          <w:rFonts w:ascii="等线(中文正文)" w:hAnsi="等线(中文正文)" w:cs="等线(中文正文)" w:eastAsia="等线(中文正文)"/>
          <w:b w:val="false"/>
          <w:i w:val="false"/>
          <w:sz w:val="20"/>
        </w:rPr>
        <w:t/>
      </w:r>
    </w:p>
    <w:p>
      <w:pPr>
        <w:pStyle w:val="ab"/>
        <w:numPr>
          <w:numId w:val="10"/>
        </w:numPr>
      </w:pPr>
      <w:r>
        <w:t>26:09 新业态发展现状与未来规划探讨</w:t>
      </w:r>
    </w:p>
    <w:p>
      <w:r>
        <w:rPr>
          <w:rFonts w:ascii="等线(中文正文)" w:hAnsi="等线(中文正文)" w:cs="等线(中文正文)" w:eastAsia="等线(中文正文)"/>
          <w:b w:val="false"/>
          <w:i w:val="false"/>
          <w:sz w:val="20"/>
        </w:rPr>
        <w:t>对话围绕新业态发展现状展开，讨论了零食店和折扣店的门店数量、单店日销与毛利率的变化，以及折扣店是否已实现扭亏为盈。明确了零食店作为辅助业态的定位，折扣店则被视为重要发展方向。规划中，零食店每年开店数量预计为几十家，不会大规模拓展；折扣店将结合自有品牌整合，优化模式与商品，预计今年开店数量有限，未来规划需视今年下半年情况调整。</w:t>
      </w:r>
    </w:p>
    <w:p>
      <w:r>
        <w:rPr>
          <w:rFonts w:ascii="等线(中文正文)" w:hAnsi="等线(中文正文)" w:cs="等线(中文正文)" w:eastAsia="等线(中文正文)"/>
          <w:b w:val="false"/>
          <w:i w:val="false"/>
          <w:sz w:val="20"/>
        </w:rPr>
        <w:t/>
      </w:r>
    </w:p>
    <w:p>
      <w:pPr>
        <w:pStyle w:val="ab"/>
        <w:numPr>
          <w:numId w:val="11"/>
        </w:numPr>
      </w:pPr>
      <w:r>
        <w:t>29:32 悦的转债到期兑付资金安排讨论</w:t>
      </w:r>
    </w:p>
    <w:p>
      <w:r>
        <w:rPr>
          <w:rFonts w:ascii="等线(中文正文)" w:hAnsi="等线(中文正文)" w:cs="等线(中文正文)" w:eastAsia="等线(中文正文)"/>
          <w:b w:val="false"/>
          <w:i w:val="false"/>
          <w:sz w:val="20"/>
        </w:rPr>
        <w:t>对话围绕悦的转债到期兑付资金来源展开，涉及当前货币资金及融资状况分析，计划采用自有资金与适当融资结合的方式解决兑付问题。</w:t>
      </w:r>
    </w:p>
    <w:p>
      <w:r>
        <w:rPr>
          <w:rFonts w:ascii="等线(中文正文)" w:hAnsi="等线(中文正文)" w:cs="等线(中文正文)" w:eastAsia="等线(中文正文)"/>
          <w:b w:val="false"/>
          <w:i w:val="false"/>
          <w:sz w:val="20"/>
        </w:rPr>
        <w:t/>
      </w:r>
    </w:p>
    <w:p>
      <w:pPr>
        <w:pStyle w:val="ab"/>
        <w:numPr>
          <w:numId w:val="12"/>
        </w:numPr>
      </w:pPr>
      <w:r>
        <w:t>32:01 公司分红政策与股东回报平衡策略</w:t>
      </w:r>
    </w:p>
    <w:p>
      <w:r>
        <w:rPr>
          <w:rFonts w:ascii="等线(中文正文)" w:hAnsi="等线(中文正文)" w:cs="等线(中文正文)" w:eastAsia="等线(中文正文)"/>
          <w:b w:val="false"/>
          <w:i w:val="false"/>
          <w:sz w:val="20"/>
        </w:rPr>
        <w:t>公司表示未来将延续以往年度的分红政策，随着利润增长保持较高的分红比例，以回报长期投资者。尽管利润不高，但良好的现金流支持了资本性支出与股东回报的平衡。监管鼓励提高分红，公司坚持在盈利基础上尽可能维持较高分红比例。</w:t>
      </w:r>
    </w:p>
    <w:p>
      <w:r>
        <w:rPr>
          <w:rFonts w:ascii="等线(中文正文)" w:hAnsi="等线(中文正文)" w:cs="等线(中文正文)" w:eastAsia="等线(中文正文)"/>
          <w:b w:val="false"/>
          <w:i w:val="false"/>
          <w:sz w:val="20"/>
        </w:rPr>
        <w:t/>
      </w:r>
    </w:p>
    <w:p>
      <w:pPr>
        <w:pStyle w:val="ab"/>
        <w:numPr>
          <w:numId w:val="13"/>
        </w:numPr>
      </w:pPr>
      <w:r>
        <w:t>33:56 公司资本支出与未来规划详解</w:t>
      </w:r>
    </w:p>
    <w:p>
      <w:r>
        <w:rPr>
          <w:rFonts w:ascii="等线(中文正文)" w:hAnsi="等线(中文正文)" w:cs="等线(中文正文)" w:eastAsia="等线(中文正文)"/>
          <w:b w:val="false"/>
          <w:i w:val="false"/>
          <w:sz w:val="20"/>
        </w:rPr>
        <w:t>对话围绕公司资本性支出展开，包括物流建设、开店改进及数字化投资。当前物流体系已基本布局完成，未来资本支出将减少，预计每年正向支出在3到4亿内。现金流稳定，预计利润提升将改善公司分红能力和资本支出需求。公司基本面持续改善，鼓励投资者关注并与团队联系。会议强调内容仅供内部使用，未经授权不得转发，提醒投资需谨慎。</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首先回顾了公司过去25年完成的大规模门店调改，以及计划在26年继续推进的小规模调改，涉及成本从180万到数万不等，强调小调改通过增加设备与优化商品结构提升经营效益。讨论中，他还询问了公司在山东及省外市场的战略布局与调改方案的差异化设计，以及自有品牌的发展方向、策略与预期收益。此外，涉及折扣店和临时性门店的运营现状与未来规划，以及公司分红政策与资本支出平衡策略的探讨。整体上，他通过提问，深入了解了公司的经营策略、产品布局及未来发展方向。</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问：关于25年完成的门店大调改，能否拆解一下小调改的成本以及调改后效果？</w:t>
      </w:r>
    </w:p>
    <w:p>
      <w:r>
        <w:rPr>
          <w:rFonts w:ascii="等线(中文正文)" w:hAnsi="等线(中文正文)" w:cs="等线(中文正文)" w:eastAsia="等线(中文正文)"/>
          <w:b w:val="false"/>
          <w:i w:val="false"/>
          <w:sz w:val="20"/>
        </w:rPr>
        <w:t>发言人1 答：小调改的投资相对较小，一般不超过10万左右，主要涉及适度增加冷链和顾客服务设备，以及因周边商业环境变化对门店面积进行压缩。尽管投资不大，但门店需要调整商品结构和优化布局。小调改去年对约六七十家店进行了实施，整体上实现了平均小个位数增长，部分店铺增长10%左右，与前期持平。小调改在26年将继续进行，预计每年会有60家左右的门店推进这项工作。</w:t>
      </w:r>
    </w:p>
    <w:p>
      <w:r>
        <w:rPr>
          <w:rFonts w:ascii="等线(中文正文)" w:hAnsi="等线(中文正文)" w:cs="等线(中文正文)" w:eastAsia="等线(中文正文)"/>
          <w:b w:val="false"/>
          <w:i w:val="false"/>
          <w:sz w:val="20"/>
        </w:rPr>
        <w:t/>
      </w:r>
    </w:p>
    <w:p>
      <w:pPr>
        <w:pStyle w:val="ab"/>
      </w:pPr>
      <w:r>
        <w:t>发言人1 问：针对城市店和乡镇店，在煤电调改方案上是否有差异化的设计？</w:t>
      </w:r>
    </w:p>
    <w:p>
      <w:r>
        <w:rPr>
          <w:rFonts w:ascii="等线(中文正文)" w:hAnsi="等线(中文正文)" w:cs="等线(中文正文)" w:eastAsia="等线(中文正文)"/>
          <w:b w:val="false"/>
          <w:i w:val="false"/>
          <w:sz w:val="20"/>
        </w:rPr>
        <w:t>发言人1 答：确实有差异化设计。在调整方案时，会根据店铺类别（如购物中心、社区大型生活超市、社区小型超市和乡镇店）的不同，考虑周边顾客消费定位的差异，从而在投资和商品结构上进行区别化调整。</w:t>
      </w:r>
    </w:p>
    <w:p>
      <w:r>
        <w:rPr>
          <w:rFonts w:ascii="等线(中文正文)" w:hAnsi="等线(中文正文)" w:cs="等线(中文正文)" w:eastAsia="等线(中文正文)"/>
          <w:b w:val="false"/>
          <w:i w:val="false"/>
          <w:sz w:val="20"/>
        </w:rPr>
        <w:t/>
      </w:r>
    </w:p>
    <w:p>
      <w:pPr>
        <w:pStyle w:val="ab"/>
      </w:pPr>
      <w:r>
        <w:t>发言人1 问：我们整个调改计划的进度和接下来几年的规划是怎样的？</w:t>
      </w:r>
    </w:p>
    <w:p>
      <w:r>
        <w:rPr>
          <w:rFonts w:ascii="等线(中文正文)" w:hAnsi="等线(中文正文)" w:cs="等线(中文正文)" w:eastAsia="等线(中文正文)"/>
          <w:b w:val="false"/>
          <w:i w:val="false"/>
          <w:sz w:val="20"/>
        </w:rPr>
        <w:t>发言人1 答：目前大调改门店已完成约60多家，加上一季度完成的六家，总共完成70多家。预计到27年可能完成150到200家门店的调改，部分门店可能通过小调改方式进行优化，重点在于改善环境、设备设施更新以及商品结构优化。调改后的营收目标为220亿销售规模。</w:t>
      </w:r>
    </w:p>
    <w:p>
      <w:r>
        <w:rPr>
          <w:rFonts w:ascii="等线(中文正文)" w:hAnsi="等线(中文正文)" w:cs="等线(中文正文)" w:eastAsia="等线(中文正文)"/>
          <w:b w:val="false"/>
          <w:i w:val="false"/>
          <w:sz w:val="20"/>
        </w:rPr>
        <w:t/>
      </w:r>
    </w:p>
    <w:p>
      <w:pPr>
        <w:pStyle w:val="ab"/>
      </w:pPr>
      <w:r>
        <w:t>发言人1 问：目前自有品牌的SKU数量以及平均毛利率水平如何？与外资品牌相比，毛利率优势大概有多少？</w:t>
      </w:r>
    </w:p>
    <w:p>
      <w:r>
        <w:rPr>
          <w:rFonts w:ascii="等线(中文正文)" w:hAnsi="等线(中文正文)" w:cs="等线(中文正文)" w:eastAsia="等线(中文正文)"/>
          <w:b w:val="false"/>
          <w:i w:val="false"/>
          <w:sz w:val="20"/>
        </w:rPr>
        <w:t>发言人1 答：自有品牌的SKU数量有一千多个，主要涵盖生鲜品、加工品等多个领域。整体综合毛利率高于世界同品类商品，总体在23%以上，不同品类间存在差异。与外资品牌相比，毛利率优势约为几个百分点。</w:t>
      </w:r>
    </w:p>
    <w:p>
      <w:r>
        <w:rPr>
          <w:rFonts w:ascii="等线(中文正文)" w:hAnsi="等线(中文正文)" w:cs="等线(中文正文)" w:eastAsia="等线(中文正文)"/>
          <w:b w:val="false"/>
          <w:i w:val="false"/>
          <w:sz w:val="20"/>
        </w:rPr>
        <w:t/>
      </w:r>
    </w:p>
    <w:p>
      <w:pPr>
        <w:pStyle w:val="ab"/>
      </w:pPr>
      <w:r>
        <w:t>发言人1 问：烟台烘焙工厂目前产能利用率情况如何？以及该工厂预计为公司烘焙品类带来的销售额或毛利提升有多大？</w:t>
      </w:r>
    </w:p>
    <w:p>
      <w:r>
        <w:rPr>
          <w:rFonts w:ascii="等线(中文正文)" w:hAnsi="等线(中文正文)" w:cs="等线(中文正文)" w:eastAsia="等线(中文正文)"/>
          <w:b w:val="false"/>
          <w:i w:val="false"/>
          <w:sz w:val="20"/>
        </w:rPr>
        <w:t>发言人1 答：烟台烘焙工厂产能利用率较低，今年1月至3月处于试生产爬坡阶段，设计年产能为两亿。预计今年能达到8000万至1亿的生产量。烘焙工厂投产后，一方面丰富了门店烘焙品类，另一方面通过现场加工降低了门店成本，有助于提高门店整体毛利率至40%左右，从而增强店内烘焙品类的吸引力和整体毛利。</w:t>
      </w:r>
    </w:p>
    <w:p>
      <w:r>
        <w:rPr>
          <w:rFonts w:ascii="等线(中文正文)" w:hAnsi="等线(中文正文)" w:cs="等线(中文正文)" w:eastAsia="等线(中文正文)"/>
          <w:b w:val="false"/>
          <w:i w:val="false"/>
          <w:sz w:val="20"/>
        </w:rPr>
        <w:t/>
      </w:r>
    </w:p>
    <w:p>
      <w:pPr>
        <w:pStyle w:val="ab"/>
      </w:pPr>
      <w:r>
        <w:t>发言人1 问：25年上半年省外市场的盈利或亏损情况如何，是否已经实现盈亏平衡？</w:t>
      </w:r>
    </w:p>
    <w:p>
      <w:r>
        <w:rPr>
          <w:rFonts w:ascii="等线(中文正文)" w:hAnsi="等线(中文正文)" w:cs="等线(中文正文)" w:eastAsia="等线(中文正文)"/>
          <w:b w:val="false"/>
          <w:i w:val="false"/>
          <w:sz w:val="20"/>
        </w:rPr>
        <w:t>发言人1 答：25年上半年，省外市场大幅减亏，其中内蒙市场无论是平级还是科比都是盈利状态。尽管张家口和淮北两个地方在250时亏损，但整体上省外市场保持合理能力，营业收入增长双位数。预计26年全年，随着数据表现更好，整体盈利情况会有所改善。</w:t>
      </w:r>
    </w:p>
    <w:p>
      <w:r>
        <w:rPr>
          <w:rFonts w:ascii="等线(中文正文)" w:hAnsi="等线(中文正文)" w:cs="等线(中文正文)" w:eastAsia="等线(中文正文)"/>
          <w:b w:val="false"/>
          <w:i w:val="false"/>
          <w:sz w:val="20"/>
        </w:rPr>
        <w:t/>
      </w:r>
    </w:p>
    <w:p>
      <w:pPr>
        <w:pStyle w:val="ab"/>
      </w:pPr>
      <w:r>
        <w:t>发言人1 问：省外市场门店调改的效果如何，与山东省内的差异是什么？另外，对于26年省外市场的调改或开店规划是怎样的？</w:t>
      </w:r>
    </w:p>
    <w:p>
      <w:r>
        <w:rPr>
          <w:rFonts w:ascii="等线(中文正文)" w:hAnsi="等线(中文正文)" w:cs="等线(中文正文)" w:eastAsia="等线(中文正文)"/>
          <w:b w:val="false"/>
          <w:i w:val="false"/>
          <w:sz w:val="20"/>
        </w:rPr>
        <w:t>发言人1 答：省外调改效果因城市而异，呼市、内蒙等地调改较多，张家口和淮北也有调改但数量较少。26年计划中，淮北张家口会有调改，同时省内也会有调整，但整体上省外城市的调改数量不多。新开店方面，26年开店重点将在省内，如济南、青岛、烟台等城市，以及内蒙古等地。</w:t>
      </w:r>
    </w:p>
    <w:p>
      <w:r>
        <w:rPr>
          <w:rFonts w:ascii="等线(中文正文)" w:hAnsi="等线(中文正文)" w:cs="等线(中文正文)" w:eastAsia="等线(中文正文)"/>
          <w:b w:val="false"/>
          <w:i w:val="false"/>
          <w:sz w:val="20"/>
        </w:rPr>
        <w:t/>
      </w:r>
    </w:p>
    <w:p>
      <w:pPr>
        <w:pStyle w:val="ab"/>
      </w:pPr>
      <w:r>
        <w:t>发言人1 问：公司的闭店计划是怎样的，今年是否有相关预期规划？</w:t>
      </w:r>
    </w:p>
    <w:p>
      <w:r>
        <w:rPr>
          <w:rFonts w:ascii="等线(中文正文)" w:hAnsi="等线(中文正文)" w:cs="等线(中文正文)" w:eastAsia="等线(中文正文)"/>
          <w:b w:val="false"/>
          <w:i w:val="false"/>
          <w:sz w:val="20"/>
        </w:rPr>
        <w:t>发言人1 答：今年预计会有一定的闭店动作，主要是由于历史原因或新的商圈变化导致。去年虽有较多小业态门店关闭，但在购物中心中的小母婴店目前仍相对健康。今年预计超市业态会有3-4家门店关闭，数量比去年减少。</w:t>
      </w:r>
    </w:p>
    <w:p>
      <w:r>
        <w:rPr>
          <w:rFonts w:ascii="等线(中文正文)" w:hAnsi="等线(中文正文)" w:cs="等线(中文正文)" w:eastAsia="等线(中文正文)"/>
          <w:b w:val="false"/>
          <w:i w:val="false"/>
          <w:sz w:val="20"/>
        </w:rPr>
        <w:t/>
      </w:r>
    </w:p>
    <w:p>
      <w:pPr>
        <w:pStyle w:val="ab"/>
      </w:pPr>
      <w:r>
        <w:t>发言人1 问：关于新业态的情况，例如2021年Q1公司零食店和折扣店的门店数量，以及单店日销和毛利率的变化，还有折扣店业务是否已经扭亏为盈？</w:t>
      </w:r>
    </w:p>
    <w:p>
      <w:r>
        <w:rPr>
          <w:rFonts w:ascii="等线(中文正文)" w:hAnsi="等线(中文正文)" w:cs="等线(中文正文)" w:eastAsia="等线(中文正文)"/>
          <w:b w:val="false"/>
          <w:i w:val="false"/>
          <w:sz w:val="20"/>
        </w:rPr>
        <w:t>发言人1 答：零食店和折扣店作为辅助业态，在战略上并未大规模拓展，临时性门店数量基本保持稳定。折扣店目前有30多家，其中约七八家店盈利，几家店在调整中。折扣店业务今年将作为重要业态进行发展，结合自有品牌整合，将进一步优化模式和商品，实现扭亏为盈的目标。</w:t>
      </w:r>
    </w:p>
    <w:p>
      <w:r>
        <w:rPr>
          <w:rFonts w:ascii="等线(中文正文)" w:hAnsi="等线(中文正文)" w:cs="等线(中文正文)" w:eastAsia="等线(中文正文)"/>
          <w:b w:val="false"/>
          <w:i w:val="false"/>
          <w:sz w:val="20"/>
        </w:rPr>
        <w:t/>
      </w:r>
    </w:p>
    <w:p>
      <w:pPr>
        <w:pStyle w:val="ab"/>
      </w:pPr>
      <w:r>
        <w:t>发言人1 问：如果看未来一两年，对临时店或折扣店的开店情况是否有一定的指引？</w:t>
      </w:r>
    </w:p>
    <w:p>
      <w:r>
        <w:rPr>
          <w:rFonts w:ascii="等线(中文正文)" w:hAnsi="等线(中文正文)" w:cs="等线(中文正文)" w:eastAsia="等线(中文正文)"/>
          <w:b w:val="false"/>
          <w:i w:val="false"/>
          <w:sz w:val="20"/>
        </w:rPr>
        <w:t>发言人1 答：今年临时性店铺的开店数量预计会保持在几十家，不会大规模开设。折扣店方面，由于在进行旧品牌的整合和对业态、商品及进模式进行打磨，今年预计新开折扣店的数量也不会太多，重点是进一步完善整体业态。</w:t>
      </w:r>
    </w:p>
    <w:p>
      <w:r>
        <w:rPr>
          <w:rFonts w:ascii="等线(中文正文)" w:hAnsi="等线(中文正文)" w:cs="等线(中文正文)" w:eastAsia="等线(中文正文)"/>
          <w:b w:val="false"/>
          <w:i w:val="false"/>
          <w:sz w:val="20"/>
        </w:rPr>
        <w:t/>
      </w:r>
    </w:p>
    <w:p>
      <w:pPr>
        <w:pStyle w:val="ab"/>
      </w:pPr>
      <w:r>
        <w:t>发言人1 问：公司计划如何安排悦转债到期后的兑付，是使用自有资金、银行贷款还是其他方式？</w:t>
      </w:r>
    </w:p>
    <w:p>
      <w:r>
        <w:rPr>
          <w:rFonts w:ascii="等线(中文正文)" w:hAnsi="等线(中文正文)" w:cs="等线(中文正文)" w:eastAsia="等线(中文正文)"/>
          <w:b w:val="false"/>
          <w:i w:val="false"/>
          <w:sz w:val="20"/>
        </w:rPr>
        <w:t>发言人1 答：截至三月末，公司的货币资金加上结构性存款，在交易性金融资产中大约有27至28亿，相比去年同期增加四五个亿。此外，银行借款不多，只有短期借款约两亿和央银行票据约四五个亿左右。因此，自有资金充裕，适当融资也可行，可以确保兑付悦转债。</w:t>
      </w:r>
    </w:p>
    <w:p>
      <w:r>
        <w:rPr>
          <w:rFonts w:ascii="等线(中文正文)" w:hAnsi="等线(中文正文)" w:cs="等线(中文正文)" w:eastAsia="等线(中文正文)"/>
          <w:b w:val="false"/>
          <w:i w:val="false"/>
          <w:sz w:val="20"/>
        </w:rPr>
        <w:t/>
      </w:r>
    </w:p>
    <w:p>
      <w:pPr>
        <w:pStyle w:val="ab"/>
      </w:pPr>
      <w:r>
        <w:t>发言人1 问：公司未来几年的分红比例有何变化，以及如何平衡股东回报与未来发展资金需求？</w:t>
      </w:r>
    </w:p>
    <w:p>
      <w:r>
        <w:rPr>
          <w:rFonts w:ascii="等线(中文正文)" w:hAnsi="等线(中文正文)" w:cs="等线(中文正文)" w:eastAsia="等线(中文正文)"/>
          <w:b w:val="false"/>
          <w:i w:val="false"/>
          <w:sz w:val="20"/>
        </w:rPr>
        <w:t>发言人1 答：公司近年来经营情况良好，现金流充裕，尽管利润不高但能维持较好的现金流增长。公司倾向于根据当年利润情况保持一个较高的分红比例，以回馈长期投资者，并且会延续以往年度的分红政策。对于未来发展资金需求，资本性支出主要集中在物流建设和门店改造，随着物流体系布局基本完成，未来这部分支出将减少。开进改进方面，每年约1到2亿的资金支出，整体正向支出控制在3到4亿以内，加上稳定的现金流净额，能够满足公司发展的资金需求。随着利润提升，预计未来公司会在分红能力和资本性支出上保持稳定，不会影响公司发展。</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2026-04-22T23:43:41Z</dcterms:created>
  <dc:creator>Apache POI</dc:creator>
</cp:coreProperties>
</file>