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城发环境 260416_导读</w:t>
      </w:r>
    </w:p>
    <w:p>
      <w:pPr>
        <w:pStyle w:val="a0"/>
        <w:jc w:val="center"/>
      </w:pPr>
      <w:r>
        <w:t>2026年04月22日 07:40</w:t>
      </w:r>
    </w:p>
    <w:p>
      <w:pPr>
        <w:pStyle w:val="a7"/>
      </w:pPr>
      <w:r>
        <w:t>关键词</w:t>
      </w:r>
    </w:p>
    <w:p>
      <w:r>
        <w:rPr>
          <w:rFonts w:ascii="等线(中文正文)" w:hAnsi="等线(中文正文)" w:cs="等线(中文正文)" w:eastAsia="等线(中文正文)"/>
          <w:b w:val="false"/>
          <w:i w:val="false"/>
          <w:sz w:val="20"/>
        </w:rPr>
        <w:t xml:space="preserve">经营情况 环卫业务 应收账款 现金流 投资性现金流 自由现金流 政府审计 印尼 乌兹别克斯坦 城市服务 无人环卫 机器人 垃圾发电 财务费用 财政 省里 群组 证明 加费 水路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广发环保长发环境举行2025年经营情况交流会，强调内容仅供广发证券客户参考，不构成投资建议，要求参会者保持静音。会议展示了公司营业收入、净利润稳定增长及经营性现金流净额显著提升，强调了财务结构优化与稳健经营。邀请董秘分享，讨论了业务结构优化、环保技术创新及国内外市场拓展。回答了投资者关于毛利率下滑原因、成长性、应收账款管理及投资方向的问题。最后，重申会议内容保密性，提醒未经授权传播的法律后果。</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广发环保2025年经营情况稳健增长</w:t>
      </w:r>
    </w:p>
    <w:p>
      <w:r>
        <w:rPr>
          <w:rFonts w:ascii="等线(中文正文)" w:hAnsi="等线(中文正文)" w:cs="等线(中文正文)" w:eastAsia="等线(中文正文)"/>
          <w:b w:val="false"/>
          <w:i w:val="false"/>
          <w:sz w:val="20"/>
        </w:rPr>
        <w:t>在广发环保2025年经营情况交流会上，公司业绩实现了8.3%的正增长，达到12.36亿元。经营性现金流净额接近翻倍增长至20.8亿元，投资性现金流净流出12.6亿元，实现自由现金流转正。公司财务状况稳健，长期借款和财务费用得到优化，整体经营向好。会上还强调了会议内容仅供内部参考，不得私自复制或传播。</w:t>
      </w:r>
    </w:p>
    <w:p>
      <w:r>
        <w:rPr>
          <w:rFonts w:ascii="等线(中文正文)" w:hAnsi="等线(中文正文)" w:cs="等线(中文正文)" w:eastAsia="等线(中文正文)"/>
          <w:b w:val="false"/>
          <w:i w:val="false"/>
          <w:sz w:val="20"/>
        </w:rPr>
        <w:t/>
      </w:r>
    </w:p>
    <w:p>
      <w:pPr>
        <w:pStyle w:val="ab"/>
        <w:numPr>
          <w:numId w:val="2"/>
        </w:numPr>
      </w:pPr>
      <w:r>
        <w:t>03:18 2025年公司经营情况汇报及未来展望</w:t>
      </w:r>
    </w:p>
    <w:p>
      <w:r>
        <w:rPr>
          <w:rFonts w:ascii="等线(中文正文)" w:hAnsi="等线(中文正文)" w:cs="等线(中文正文)" w:eastAsia="等线(中文正文)"/>
          <w:b w:val="false"/>
          <w:i w:val="false"/>
          <w:sz w:val="20"/>
        </w:rPr>
        <w:t>公司2025年营业收入为65.243亿元，同比下降0.72%，但净利润达到12.36亿元，同比上升8.29%。收入结构优化，工程收入减少，环境卫生服务和收购业务增长。固废毛利率下滑3.4个百分点，主要因政府项目结算和工程确认影响。未来成长性看好，新增项目逐步体现，同时公司将持续聚焦核心业务，提升运营效率。</w:t>
      </w:r>
    </w:p>
    <w:p>
      <w:r>
        <w:rPr>
          <w:rFonts w:ascii="等线(中文正文)" w:hAnsi="等线(中文正文)" w:cs="等线(中文正文)" w:eastAsia="等线(中文正文)"/>
          <w:b w:val="false"/>
          <w:i w:val="false"/>
          <w:sz w:val="20"/>
        </w:rPr>
        <w:t/>
      </w:r>
    </w:p>
    <w:p>
      <w:pPr>
        <w:pStyle w:val="ab"/>
        <w:numPr>
          <w:numId w:val="3"/>
        </w:numPr>
      </w:pPr>
      <w:r>
        <w:t>09:40 海外项目拓展与环卫业务应收账款管理</w:t>
      </w:r>
    </w:p>
    <w:p>
      <w:r>
        <w:rPr>
          <w:rFonts w:ascii="等线(中文正文)" w:hAnsi="等线(中文正文)" w:cs="等线(中文正文)" w:eastAsia="等线(中文正文)"/>
          <w:b w:val="false"/>
          <w:i w:val="false"/>
          <w:sz w:val="20"/>
        </w:rPr>
        <w:t>讨论了海外项目拓展策略，重点关注乌兹别克斯坦和印尼，强调至少1000吨以上的大型项目以优化调度。提及未参与印尼首批招标的原因，探讨了供热项目潜力及工业活动对需求的影响。此外，针对环卫业务的应收账款增长，提出了催收及风险控制措施，并预测未来2-3年的业务增速，明确环卫业务在环保行业中的辅助定位。</w:t>
      </w:r>
    </w:p>
    <w:p>
      <w:r>
        <w:rPr>
          <w:rFonts w:ascii="等线(中文正文)" w:hAnsi="等线(中文正文)" w:cs="等线(中文正文)" w:eastAsia="等线(中文正文)"/>
          <w:b w:val="false"/>
          <w:i w:val="false"/>
          <w:sz w:val="20"/>
        </w:rPr>
        <w:t/>
      </w:r>
    </w:p>
    <w:p>
      <w:pPr>
        <w:pStyle w:val="ab"/>
        <w:numPr>
          <w:numId w:val="4"/>
        </w:numPr>
      </w:pPr>
      <w:r>
        <w:t>14:05 行业规模与技术提升及重大项目规划</w:t>
      </w:r>
    </w:p>
    <w:p>
      <w:r>
        <w:rPr>
          <w:rFonts w:ascii="等线(中文正文)" w:hAnsi="等线(中文正文)" w:cs="等线(中文正文)" w:eastAsia="等线(中文正文)"/>
          <w:b w:val="false"/>
          <w:i w:val="false"/>
          <w:sz w:val="20"/>
        </w:rPr>
        <w:t>讨论了行业规模对管理能力提升的重要性，以及通过直播等手段实现行业地位的提升。提及了团队在专业性和未来目标上的规划，如配合垃圾发电提升垃圾处理量，以及在城市服务场景中开发新领域，如无人环卫和机器人技术。此外，还讨论了食品包装地的重大项目改造扩建计划，包括论证审批阶段和建设周期，强调了投资效率和效益的重要性。</w:t>
      </w:r>
    </w:p>
    <w:p>
      <w:r>
        <w:rPr>
          <w:rFonts w:ascii="等线(中文正文)" w:hAnsi="等线(中文正文)" w:cs="等线(中文正文)" w:eastAsia="等线(中文正文)"/>
          <w:b w:val="false"/>
          <w:i w:val="false"/>
          <w:sz w:val="20"/>
        </w:rPr>
        <w:t/>
      </w:r>
    </w:p>
    <w:p>
      <w:pPr>
        <w:pStyle w:val="ab"/>
        <w:numPr>
          <w:numId w:val="5"/>
        </w:numPr>
      </w:pPr>
      <w:r>
        <w:t>20:48 公司应收账款增长与地方政府欠款分析</w:t>
      </w:r>
    </w:p>
    <w:p>
      <w:r>
        <w:rPr>
          <w:rFonts w:ascii="等线(中文正文)" w:hAnsi="等线(中文正文)" w:cs="等线(中文正文)" w:eastAsia="等线(中文正文)"/>
          <w:b w:val="false"/>
          <w:i w:val="false"/>
          <w:sz w:val="20"/>
        </w:rPr>
        <w:t>讨论了公司应收账款从36亿增至51亿的增长情况，主要归因于垃圾经济收入的增加。分析了国库、护理费、省补等欠款构成，强调回款压力及处理历史遗留问题的复杂性。提及与地方政府的资产交接进展，以及公司成长性依赖于并购策略，特别是在存量整合背景下的优势产业发展。</w:t>
      </w:r>
    </w:p>
    <w:p>
      <w:r>
        <w:rPr>
          <w:rFonts w:ascii="等线(中文正文)" w:hAnsi="等线(中文正文)" w:cs="等线(中文正文)" w:eastAsia="等线(中文正文)"/>
          <w:b w:val="false"/>
          <w:i w:val="false"/>
          <w:sz w:val="20"/>
        </w:rPr>
        <w:t/>
      </w:r>
    </w:p>
    <w:p>
      <w:pPr>
        <w:pStyle w:val="ab"/>
        <w:numPr>
          <w:numId w:val="6"/>
        </w:numPr>
      </w:pPr>
      <w:r>
        <w:t>26:52 垃圾发电企业探讨科技转型与并购策略</w:t>
      </w:r>
    </w:p>
    <w:p>
      <w:r>
        <w:rPr>
          <w:rFonts w:ascii="等线(中文正文)" w:hAnsi="等线(中文正文)" w:cs="等线(中文正文)" w:eastAsia="等线(中文正文)"/>
          <w:b w:val="false"/>
          <w:i w:val="false"/>
          <w:sz w:val="20"/>
        </w:rPr>
        <w:t>对话围绕垃圾发电企业的产能优势、科技转型及并购策略展开。企业产能位于行业第一梯队，正通过并购和一体化提升竞争力，探索垃圾无人值守、环保示范计算等新技术，同时发展再生资源回收产业。预计未来利润稳定增长，尽管面临walkman图表下滑等挑战，但通过其他业务补充，有望维持利润稳定。</w:t>
      </w:r>
    </w:p>
    <w:p>
      <w:r>
        <w:rPr>
          <w:rFonts w:ascii="等线(中文正文)" w:hAnsi="等线(中文正文)" w:cs="等线(中文正文)" w:eastAsia="等线(中文正文)"/>
          <w:b w:val="false"/>
          <w:i w:val="false"/>
          <w:sz w:val="20"/>
        </w:rPr>
        <w:t/>
      </w:r>
    </w:p>
    <w:p>
      <w:pPr>
        <w:pStyle w:val="ab"/>
        <w:numPr>
          <w:numId w:val="7"/>
        </w:numPr>
      </w:pPr>
      <w:r>
        <w:t>32:27 公司资本开支与分红政策讨论</w:t>
      </w:r>
    </w:p>
    <w:p>
      <w:r>
        <w:rPr>
          <w:rFonts w:ascii="等线(中文正文)" w:hAnsi="等线(中文正文)" w:cs="等线(中文正文)" w:eastAsia="等线(中文正文)"/>
          <w:b w:val="false"/>
          <w:i w:val="false"/>
          <w:sz w:val="20"/>
        </w:rPr>
        <w:t>对话围绕公司资本开支、经营性现金流改善、分红政策调整及财务成本降低等议题展开。提及25年资本开支与去年持平，分红比例维持20%，但存在提升空间。讨论了漯河项目进展、长期借款减少及贷款利率情况，强调26年将继续重点处理剩余难题。</w:t>
      </w:r>
    </w:p>
    <w:p>
      <w:r>
        <w:rPr>
          <w:rFonts w:ascii="等线(中文正文)" w:hAnsi="等线(中文正文)" w:cs="等线(中文正文)" w:eastAsia="等线(中文正文)"/>
          <w:b w:val="false"/>
          <w:i w:val="false"/>
          <w:sz w:val="20"/>
        </w:rPr>
        <w:t/>
      </w:r>
    </w:p>
    <w:p>
      <w:pPr>
        <w:pStyle w:val="ab"/>
        <w:numPr>
          <w:numId w:val="8"/>
        </w:numPr>
      </w:pPr>
      <w:r>
        <w:t>36:19 公司环保行业十年发展与未来科技展望</w:t>
      </w:r>
    </w:p>
    <w:p>
      <w:r>
        <w:rPr>
          <w:rFonts w:ascii="等线(中文正文)" w:hAnsi="等线(中文正文)" w:cs="等线(中文正文)" w:eastAsia="等线(中文正文)"/>
          <w:b w:val="false"/>
          <w:i w:val="false"/>
          <w:sz w:val="20"/>
        </w:rPr>
        <w:t>公司自2018年进入环保行业，至2022年完成全国布局，规模翻倍，进入行业前十。当前正通过科技转型探索高质量成长，提出五大先锋项目，包括智能大模型、计算智能机器人应用等，以巩固产业链核心优势。未来将加大科技投入，推动产业链创新。</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主持并介绍了广发环保长发环境2025年经营情况交流会，强调了会议纪律和信息保密性，明确指出电话会议内容仅供广发证券客户参考，不构成投资建议，公司对由此可能引致的损失不承担任何责任。会议邀请了长沙的董秘李总进行公司经营情况的详细介绍。讨论了公司2025年的业绩预期，包括营业收入、净利润、经营性现金流等关键指标的增长，以及公司业务结构的优化和未来发展方向，如并购、技术升级等策略。此外，他还提到了公司对财务成本的严格控制、资本开支的预计以及分红策略的考虑，旨在向投资者展示公司的稳健经营及未来发展潜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问：大家好，欢迎参加广发环保长发环境2025年经营情况交流会。首先，请允许我为大家通报一下会议纪律声明和免责声明的内容。</w:t>
      </w:r>
    </w:p>
    <w:p>
      <w:r>
        <w:rPr>
          <w:rFonts w:ascii="等线(中文正文)" w:hAnsi="等线(中文正文)" w:cs="等线(中文正文)" w:eastAsia="等线(中文正文)"/>
          <w:b w:val="false"/>
          <w:i w:val="false"/>
          <w:sz w:val="20"/>
        </w:rPr>
        <w:t>发言人1 答：本次电话会议内容仅供广发证券客户参考，在任何情况下，不应视为对任何人的投资建议。广发证券不对因使用电话会议内容而引致的任何损失承担责任。未经书面许可，任何机构或个人不得复制、刊登、传播或引用电话会议内容，包括录音复制和制作传播会议纪要等行为。否则，广发证券将暂停相关机构或个人的白名单权限。</w:t>
      </w:r>
    </w:p>
    <w:p>
      <w:r>
        <w:rPr>
          <w:rFonts w:ascii="等线(中文正文)" w:hAnsi="等线(中文正文)" w:cs="等线(中文正文)" w:eastAsia="等线(中文正文)"/>
          <w:b w:val="false"/>
          <w:i w:val="false"/>
          <w:sz w:val="20"/>
        </w:rPr>
        <w:t/>
      </w:r>
    </w:p>
    <w:p>
      <w:pPr>
        <w:pStyle w:val="ab"/>
      </w:pPr>
      <w:r>
        <w:t>发言人1 问：请邀请李总来为大家简单介绍一下公司2025年整体的经营情况。为什么公司没有参与印尼第一批招标？</w:t>
      </w:r>
    </w:p>
    <w:p>
      <w:r>
        <w:rPr>
          <w:rFonts w:ascii="等线(中文正文)" w:hAnsi="等线(中文正文)" w:cs="等线(中文正文)" w:eastAsia="等线(中文正文)"/>
          <w:b w:val="false"/>
          <w:i w:val="false"/>
          <w:sz w:val="20"/>
        </w:rPr>
        <w:t>发言人1 答：大家好，我是长沙环境的董秘李总。昨晚我们发布了年报，2025年我们实现营业收入65.243亿元，同比下降0.72%。归属于上市公司股东的净利润为12.36亿元，同比上升8.29%。没有参与印尼第一批招标是因为项目规模相对较小，对于公司而言，出海发展应选择至少1000吨以上的最大项目，以优化调度并改善整体运营效率。</w:t>
      </w:r>
    </w:p>
    <w:p>
      <w:r>
        <w:rPr>
          <w:rFonts w:ascii="等线(中文正文)" w:hAnsi="等线(中文正文)" w:cs="等线(中文正文)" w:eastAsia="等线(中文正文)"/>
          <w:b w:val="false"/>
          <w:i w:val="false"/>
          <w:sz w:val="20"/>
        </w:rPr>
        <w:t/>
      </w:r>
    </w:p>
    <w:p>
      <w:pPr>
        <w:pStyle w:val="ab"/>
      </w:pPr>
      <w:r>
        <w:t>发言人1 问：收入保持平稳但结构有所优化的原因是什么？收入缺口由哪些业务弥补？</w:t>
      </w:r>
    </w:p>
    <w:p>
      <w:r>
        <w:rPr>
          <w:rFonts w:ascii="等线(中文正文)" w:hAnsi="等线(中文正文)" w:cs="等线(中文正文)" w:eastAsia="等线(中文正文)"/>
          <w:b w:val="false"/>
          <w:i w:val="false"/>
          <w:sz w:val="20"/>
        </w:rPr>
        <w:t>发言人1 答：结构优化的主要原因是去年我们剥离了工程服务业务，特别是环保方案集成服务收益大幅下降。同时，通过转让部分业务，我们将建设方面的业务转向运营和聚焦核心领域。收入缺口主要由环境卫生服务业务和自有业务弥补。其中，环境卫生服务业务收入从去年的5亿增长到今年的10亿，以及通过收购爱尔兰环境公司增加的收益。</w:t>
      </w:r>
    </w:p>
    <w:p>
      <w:r>
        <w:rPr>
          <w:rFonts w:ascii="等线(中文正文)" w:hAnsi="等线(中文正文)" w:cs="等线(中文正文)" w:eastAsia="等线(中文正文)"/>
          <w:b w:val="false"/>
          <w:i w:val="false"/>
          <w:sz w:val="20"/>
        </w:rPr>
        <w:t/>
      </w:r>
    </w:p>
    <w:p>
      <w:pPr>
        <w:pStyle w:val="ab"/>
      </w:pPr>
      <w:r>
        <w:t>发言人1 问：固废毛利率下滑的主要原因是什么？</w:t>
      </w:r>
    </w:p>
    <w:p>
      <w:r>
        <w:rPr>
          <w:rFonts w:ascii="等线(中文正文)" w:hAnsi="等线(中文正文)" w:cs="等线(中文正文)" w:eastAsia="等线(中文正文)"/>
          <w:b w:val="false"/>
          <w:i w:val="false"/>
          <w:sz w:val="20"/>
        </w:rPr>
        <w:t>发言人1 答：固废毛利率下滑约3.4个百分点，主要由于去年部分项目的投产和资金结算、政府审计工作在3月大规模进行，导致财务费用有所增加。</w:t>
      </w:r>
    </w:p>
    <w:p>
      <w:r>
        <w:rPr>
          <w:rFonts w:ascii="等线(中文正文)" w:hAnsi="等线(中文正文)" w:cs="等线(中文正文)" w:eastAsia="等线(中文正文)"/>
          <w:b w:val="false"/>
          <w:i w:val="false"/>
          <w:sz w:val="20"/>
        </w:rPr>
        <w:t/>
      </w:r>
    </w:p>
    <w:p>
      <w:pPr>
        <w:pStyle w:val="ab"/>
      </w:pPr>
      <w:r>
        <w:t>发言人1 问：未来公司在营销方面的发展展望如何？</w:t>
      </w:r>
    </w:p>
    <w:p>
      <w:r>
        <w:rPr>
          <w:rFonts w:ascii="等线(中文正文)" w:hAnsi="等线(中文正文)" w:cs="等线(中文正文)" w:eastAsia="等线(中文正文)"/>
          <w:b w:val="false"/>
          <w:i w:val="false"/>
          <w:sz w:val="20"/>
        </w:rPr>
        <w:t>发言人1 答：未来公司将继续调整布局，重点推进一些小型踏实的项目，并积极寻找确定性较强的国内垃圾发电市场项目，同时也在探索南方项目及发达地区项目的收购，以及在海外如乌兹别克斯坦、印尼等地寻找合适的投资机会。</w:t>
      </w:r>
    </w:p>
    <w:p>
      <w:r>
        <w:rPr>
          <w:rFonts w:ascii="等线(中文正文)" w:hAnsi="等线(中文正文)" w:cs="等线(中文正文)" w:eastAsia="等线(中文正文)"/>
          <w:b w:val="false"/>
          <w:i w:val="false"/>
          <w:sz w:val="20"/>
        </w:rPr>
        <w:t/>
      </w:r>
    </w:p>
    <w:p>
      <w:pPr>
        <w:pStyle w:val="ab"/>
      </w:pPr>
      <w:r>
        <w:t>发言人1 问：我们这个对外蒸汽拓展这一块是怎么考量的？为什么交付量比去年同期增长了9%，但似乎项目数量并没有显著增加？</w:t>
      </w:r>
    </w:p>
    <w:p>
      <w:r>
        <w:rPr>
          <w:rFonts w:ascii="等线(中文正文)" w:hAnsi="等线(中文正文)" w:cs="等线(中文正文)" w:eastAsia="等线(中文正文)"/>
          <w:b w:val="false"/>
          <w:i w:val="false"/>
          <w:sz w:val="20"/>
        </w:rPr>
        <w:t>发言人1 答：目前我们的蒸汽拓展项目大概有十几个，主要集中在东区。部分项目的供热潜力较大，但由于工业企业用气量不受控，所以暂时无法保证蒸汽供应。对于这些项目，我们正在密切关注其工业活动状态以及持续时间。</w:t>
      </w:r>
    </w:p>
    <w:p>
      <w:r>
        <w:rPr>
          <w:rFonts w:ascii="等线(中文正文)" w:hAnsi="等线(中文正文)" w:cs="等线(中文正文)" w:eastAsia="等线(中文正文)"/>
          <w:b w:val="false"/>
          <w:i w:val="false"/>
          <w:sz w:val="20"/>
        </w:rPr>
        <w:t/>
      </w:r>
    </w:p>
    <w:p>
      <w:pPr>
        <w:pStyle w:val="ab"/>
      </w:pPr>
      <w:r>
        <w:t>发言人1 问：食品包装项目列入了重大项目清单，将进行改造扩建，请问具体改造扩建规划及预计投资金额是多少？</w:t>
      </w:r>
    </w:p>
    <w:p>
      <w:r>
        <w:rPr>
          <w:rFonts w:ascii="等线(中文正文)" w:hAnsi="等线(中文正文)" w:cs="等线(中文正文)" w:eastAsia="等线(中文正文)"/>
          <w:b w:val="false"/>
          <w:i w:val="false"/>
          <w:sz w:val="20"/>
        </w:rPr>
        <w:t>发言人1 答：该项目处于论证和审批阶段，尚未进入刚性执行阶段。预计的投资金额尚未确定，但从行业交流来看，我们的单工艺投资相对低调。项目的落地时间会根据审批情况和必要性论证来确定。</w:t>
      </w:r>
    </w:p>
    <w:p>
      <w:r>
        <w:rPr>
          <w:rFonts w:ascii="等线(中文正文)" w:hAnsi="等线(中文正文)" w:cs="等线(中文正文)" w:eastAsia="等线(中文正文)"/>
          <w:b w:val="false"/>
          <w:i w:val="false"/>
          <w:sz w:val="20"/>
        </w:rPr>
        <w:t/>
      </w:r>
    </w:p>
    <w:p>
      <w:pPr>
        <w:pStyle w:val="ab"/>
      </w:pPr>
      <w:r>
        <w:t>发言人1 问：应收账款总额增长较快，其中与地方政府的欠款占比是多少？</w:t>
      </w:r>
    </w:p>
    <w:p>
      <w:r>
        <w:rPr>
          <w:rFonts w:ascii="等线(中文正文)" w:hAnsi="等线(中文正文)" w:cs="等线(中文正文)" w:eastAsia="等线(中文正文)"/>
          <w:b w:val="false"/>
          <w:i w:val="false"/>
          <w:sz w:val="20"/>
        </w:rPr>
        <w:t>发言人1 答：目前应收账款从36亿增至51亿，增量部分中，欠款主要来自国补55亿、护理费17亿、省补6亿，剩余部分为水上项目相关款项。总体来看，增加的主要原因是垃圾处理收入的增长，公司也在积极督促财政资金的拨付。</w:t>
      </w:r>
    </w:p>
    <w:p>
      <w:r>
        <w:rPr>
          <w:rFonts w:ascii="等线(中文正文)" w:hAnsi="等线(中文正文)" w:cs="等线(中文正文)" w:eastAsia="等线(中文正文)"/>
          <w:b w:val="false"/>
          <w:i w:val="false"/>
          <w:sz w:val="20"/>
        </w:rPr>
        <w:t/>
      </w:r>
    </w:p>
    <w:p>
      <w:pPr>
        <w:pStyle w:val="ab"/>
      </w:pPr>
      <w:r>
        <w:t>发言人1 问：在沟通中，如何解决这些地区处理企业时面临的历史问题，以及政府欠上一家企业的钱该如何解决？</w:t>
      </w:r>
    </w:p>
    <w:p>
      <w:r>
        <w:rPr>
          <w:rFonts w:ascii="等线(中文正文)" w:hAnsi="等线(中文正文)" w:cs="等线(中文正文)" w:eastAsia="等线(中文正文)"/>
          <w:b w:val="false"/>
          <w:i w:val="false"/>
          <w:sz w:val="20"/>
        </w:rPr>
        <w:t>发言人1 答：大家正在探讨创新方式来解决这些问题，但并非短期内能解决。目前在许昌有了一些进展，今年信阳会接手部分资产，其他县市也在关注并寻求合作机会。</w:t>
      </w:r>
    </w:p>
    <w:p>
      <w:r>
        <w:rPr>
          <w:rFonts w:ascii="等线(中文正文)" w:hAnsi="等线(中文正文)" w:cs="等线(中文正文)" w:eastAsia="等线(中文正文)"/>
          <w:b w:val="false"/>
          <w:i w:val="false"/>
          <w:sz w:val="20"/>
        </w:rPr>
        <w:t/>
      </w:r>
    </w:p>
    <w:p>
      <w:pPr>
        <w:pStyle w:val="ab"/>
      </w:pPr>
      <w:r>
        <w:t>发言人1 问：对于公司成长性依赖并购的情况，2020年中有哪些确定性较高的标的和方向？预计资金规模多大？</w:t>
      </w:r>
    </w:p>
    <w:p>
      <w:r>
        <w:rPr>
          <w:rFonts w:ascii="等线(中文正文)" w:hAnsi="等线(中文正文)" w:cs="等线(中文正文)" w:eastAsia="等线(中文正文)"/>
          <w:b w:val="false"/>
          <w:i w:val="false"/>
          <w:sz w:val="20"/>
        </w:rPr>
        <w:t>发言人1 答：目前整个行业正在进行存量整合，公司将继续发展优势产业，尤其是垃圾发电工程。并购将继续进行以挖掘更多潜力，并考虑一体化发展，例如利用规模优势打造精致生产力，如垃圾发电领域的技术升级和环保示范计算等。</w:t>
      </w:r>
    </w:p>
    <w:p>
      <w:r>
        <w:rPr>
          <w:rFonts w:ascii="等线(中文正文)" w:hAnsi="等线(中文正文)" w:cs="等线(中文正文)" w:eastAsia="等线(中文正文)"/>
          <w:b w:val="false"/>
          <w:i w:val="false"/>
          <w:sz w:val="20"/>
        </w:rPr>
        <w:t/>
      </w:r>
    </w:p>
    <w:p>
      <w:pPr>
        <w:pStyle w:val="ab"/>
      </w:pPr>
      <w:r>
        <w:t>发言人1 问：2026年是否会订购新的垃圾发电设施？存量运营资产的自然增长率能否支撑利润稳定？</w:t>
      </w:r>
    </w:p>
    <w:p>
      <w:r>
        <w:rPr>
          <w:rFonts w:ascii="等线(中文正文)" w:hAnsi="等线(中文正文)" w:cs="等线(中文正文)" w:eastAsia="等线(中文正文)"/>
          <w:b w:val="false"/>
          <w:i w:val="false"/>
          <w:sz w:val="20"/>
        </w:rPr>
        <w:t>发言人1 答：2026年将继续订购垃圾发电设施，目前正在寻找合适的标的进行并购，不会有特别大的动作。存量运营资产的利润本身比较稳定，公益事业和高速公路业务保证了利润的稳定性。即使有利润波动的风险，但市场整体较为平稳，公司的本金回款也趋于减少。</w:t>
      </w:r>
    </w:p>
    <w:p>
      <w:r>
        <w:rPr>
          <w:rFonts w:ascii="等线(中文正文)" w:hAnsi="等线(中文正文)" w:cs="等线(中文正文)" w:eastAsia="等线(中文正文)"/>
          <w:b w:val="false"/>
          <w:i w:val="false"/>
          <w:sz w:val="20"/>
        </w:rPr>
        <w:t/>
      </w:r>
    </w:p>
    <w:p>
      <w:pPr>
        <w:pStyle w:val="ab"/>
      </w:pPr>
      <w:r>
        <w:t>发言人1 问：2026年净利能否保证稳定增长，特别是在2025年存在缺失的情况下？</w:t>
      </w:r>
    </w:p>
    <w:p>
      <w:r>
        <w:rPr>
          <w:rFonts w:ascii="等线(中文正文)" w:hAnsi="等线(中文正文)" w:cs="等线(中文正文)" w:eastAsia="等线(中文正文)"/>
          <w:b w:val="false"/>
          <w:i w:val="false"/>
          <w:sz w:val="20"/>
        </w:rPr>
        <w:t>发言人1 答：2026年的净利预计能实现稳定增长，这得益于宁波丰收电厂等项目的并表效应，以及下半年可能增加的利润来源，如矿泉水业务等。</w:t>
      </w:r>
    </w:p>
    <w:p>
      <w:r>
        <w:rPr>
          <w:rFonts w:ascii="等线(中文正文)" w:hAnsi="等线(中文正文)" w:cs="等线(中文正文)" w:eastAsia="等线(中文正文)"/>
          <w:b w:val="false"/>
          <w:i w:val="false"/>
          <w:sz w:val="20"/>
        </w:rPr>
        <w:t/>
      </w:r>
    </w:p>
    <w:p>
      <w:pPr>
        <w:pStyle w:val="ab"/>
      </w:pPr>
      <w:r>
        <w:t>发言人1 问：整体来看，资本开支预计是否与2025年保持相近的体量？</w:t>
      </w:r>
    </w:p>
    <w:p>
      <w:r>
        <w:rPr>
          <w:rFonts w:ascii="等线(中文正文)" w:hAnsi="等线(中文正文)" w:cs="等线(中文正文)" w:eastAsia="等线(中文正文)"/>
          <w:b w:val="false"/>
          <w:i w:val="false"/>
          <w:sz w:val="20"/>
        </w:rPr>
        <w:t>发言人1 答：是的，资本开支预计与2025年保持相近的体量，基本开支方面已经有所调整，今年下半年会有新建项目投入。</w:t>
      </w:r>
    </w:p>
    <w:p>
      <w:r>
        <w:rPr>
          <w:rFonts w:ascii="等线(中文正文)" w:hAnsi="等线(中文正文)" w:cs="等线(中文正文)" w:eastAsia="等线(中文正文)"/>
          <w:b w:val="false"/>
          <w:i w:val="false"/>
          <w:sz w:val="20"/>
        </w:rPr>
        <w:t/>
      </w:r>
    </w:p>
    <w:p>
      <w:pPr>
        <w:pStyle w:val="ab"/>
      </w:pPr>
      <w:r>
        <w:t>发言人1 问：关于分红的整体考量，公司是如何考虑这一问题的？</w:t>
      </w:r>
    </w:p>
    <w:p>
      <w:r>
        <w:rPr>
          <w:rFonts w:ascii="等线(中文正文)" w:hAnsi="等线(中文正文)" w:cs="等线(中文正文)" w:eastAsia="等线(中文正文)"/>
          <w:b w:val="false"/>
          <w:i w:val="false"/>
          <w:sz w:val="20"/>
        </w:rPr>
        <w:t>发言人1 答：公司正在加快业务转型，推进垃圾发电等核心业务打造减少政府付费的商业模式，以提升现金流基础和安全边界。分红比例将根据未来业务发展和利润情况综合考虑。</w:t>
      </w:r>
    </w:p>
    <w:p>
      <w:r>
        <w:rPr>
          <w:rFonts w:ascii="等线(中文正文)" w:hAnsi="等线(中文正文)" w:cs="等线(中文正文)" w:eastAsia="等线(中文正文)"/>
          <w:b w:val="false"/>
          <w:i w:val="false"/>
          <w:sz w:val="20"/>
        </w:rPr>
        <w:t/>
      </w:r>
    </w:p>
    <w:p>
      <w:pPr>
        <w:pStyle w:val="ab"/>
      </w:pPr>
      <w:r>
        <w:t>发言人1 问：到2027年还有降低财务成本的空间吗？</w:t>
      </w:r>
    </w:p>
    <w:p>
      <w:r>
        <w:rPr>
          <w:rFonts w:ascii="等线(中文正文)" w:hAnsi="等线(中文正文)" w:cs="等线(中文正文)" w:eastAsia="等线(中文正文)"/>
          <w:b w:val="false"/>
          <w:i w:val="false"/>
          <w:sz w:val="20"/>
        </w:rPr>
        <w:t>发言人1 答：2027年将继续降低财务成本，尤其是长期借款仍有进一步降低的空间，目前平均贷款利率已较低，但仍需继续努力谈判和置换贷款以降低利息成本。</w:t>
      </w:r>
    </w:p>
    <w:p>
      <w:r>
        <w:rPr>
          <w:rFonts w:ascii="等线(中文正文)" w:hAnsi="等线(中文正文)" w:cs="等线(中文正文)" w:eastAsia="等线(中文正文)"/>
          <w:b w:val="false"/>
          <w:i w:val="false"/>
          <w:sz w:val="20"/>
        </w:rPr>
        <w:t/>
      </w:r>
    </w:p>
    <w:p>
      <w:pPr>
        <w:pStyle w:val="ab"/>
      </w:pPr>
      <w:r>
        <w:t>发言人1 问：请李总总结一下公司整体情况及未来2-3年的发展展望。</w:t>
      </w:r>
    </w:p>
    <w:p>
      <w:r>
        <w:rPr>
          <w:rFonts w:ascii="等线(中文正文)" w:hAnsi="等线(中文正文)" w:cs="等线(中文正文)" w:eastAsia="等线(中文正文)"/>
          <w:b w:val="false"/>
          <w:i w:val="false"/>
          <w:sz w:val="20"/>
        </w:rPr>
        <w:t>发言人1 答：公司自18年进入环保行业以来，经过几年布局，已在全国范围内占据主导地位并完成河南省及全国性垃圾发电资产的并购整合，成为全国性公司。接下来将致力于存量资产的优质稳定盈利回报，同时加大科技新生产力的应用，探索成长空间，通过五大先锋项目（智能大模型、无人驾驶车辆、计算智能机器人等）强化产业链核心优势，实现二次创业的高质量发展。</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2026-04-21T23:44:24Z</dcterms:created>
  <dc:creator>Apache POI</dc:creator>
</cp:coreProperties>
</file>