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瑞立科密 260415_导读</w:t>
      </w:r>
    </w:p>
    <w:p>
      <w:pPr>
        <w:pStyle w:val="a0"/>
        <w:jc w:val="center"/>
      </w:pPr>
      <w:r>
        <w:t>2026年04月22日 07:40</w:t>
      </w:r>
    </w:p>
    <w:p>
      <w:pPr>
        <w:pStyle w:val="a7"/>
      </w:pPr>
      <w:r>
        <w:t>关键词</w:t>
      </w:r>
    </w:p>
    <w:p>
      <w:r>
        <w:rPr>
          <w:rFonts w:ascii="等线(中文正文)" w:hAnsi="等线(中文正文)" w:cs="等线(中文正文)" w:eastAsia="等线(中文正文)"/>
          <w:b w:val="false"/>
          <w:i w:val="false"/>
          <w:sz w:val="20"/>
        </w:rPr>
        <w:t xml:space="preserve">营业收入 净利润 毛利率 商用车 智能驾驶 电控制动系统 EBS ESC 两轮车 海外市场 线控底盘 新能源重卡 ABS ESD 电动两轮车 液压制动 气压ABS ENB 安全意识 技术布局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瑞丽科密在2025年取得了显著的业绩增长，全年营业收入达到23.93亿元，同比增长21%，净利润3.3亿元，增长22.375%。公司毛利率提升，尤其是气压制动产品和高附加值产品的增长推动了这一成果。在商用车和两轮车领域，销售收入增速超过行业平均水平，反映出气压制动产品及智能化驾驶系统需求的显著增加。瑞丽科密在智能驾驶、高价值电控制动系统等方面取得进展，计划继续布局在线控底盘技术，寻求更高价值产品的市场份额，并探索低空经济等新兴领域。面对投资者和分析师的提问，公司详细回答了关于产品结构、毛利率、投资策略和市场趋势等方面的问题。</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瑞丽科密2025年业绩稳健增长</w:t>
      </w:r>
    </w:p>
    <w:p>
      <w:r>
        <w:rPr>
          <w:rFonts w:ascii="等线(中文正文)" w:hAnsi="等线(中文正文)" w:cs="等线(中文正文)" w:eastAsia="等线(中文正文)"/>
          <w:b w:val="false"/>
          <w:i w:val="false"/>
          <w:sz w:val="20"/>
        </w:rPr>
        <w:t>公司2025年实现营业收入23.93亿元，同比增长21%，净利润3.3亿元，同比增长23.75%，毛利率稳步提升。主营业务毛利率由28.70%提升至29.17%，第四季度主营业务毛利率回升至30%以上，受益于规模效应和高附加值产品占比提升。公司管理层感谢投资者及合作伙伴支持，展望2026年发展前景。</w:t>
      </w:r>
    </w:p>
    <w:p>
      <w:r>
        <w:rPr>
          <w:rFonts w:ascii="等线(中文正文)" w:hAnsi="等线(中文正文)" w:cs="等线(中文正文)" w:eastAsia="等线(中文正文)"/>
          <w:b w:val="false"/>
          <w:i w:val="false"/>
          <w:sz w:val="20"/>
        </w:rPr>
        <w:t/>
      </w:r>
    </w:p>
    <w:p>
      <w:pPr>
        <w:pStyle w:val="ab"/>
        <w:numPr>
          <w:numId w:val="2"/>
        </w:numPr>
      </w:pPr>
      <w:r>
        <w:t>02:07 2025年商用车领域业绩亮点及市场趋势</w:t>
      </w:r>
    </w:p>
    <w:p>
      <w:r>
        <w:rPr>
          <w:rFonts w:ascii="等线(中文正文)" w:hAnsi="等线(中文正文)" w:cs="等线(中文正文)" w:eastAsia="等线(中文正文)"/>
          <w:b w:val="false"/>
          <w:i w:val="false"/>
          <w:sz w:val="20"/>
        </w:rPr>
        <w:t>2025年，商用车行业复苏平稳，产销同比增长超10%。公司业绩突出，气压制动产品销量增长超20%，智能驾驶及新能源重卡推动电控制动系统需求，ESC、EBS等产品出货增长超50%。头部客户订单贡献显著，收入增长超过50%，强化了与头部车企的深度绑定，为持续增长奠定基础。</w:t>
      </w:r>
    </w:p>
    <w:p>
      <w:r>
        <w:rPr>
          <w:rFonts w:ascii="等线(中文正文)" w:hAnsi="等线(中文正文)" w:cs="等线(中文正文)" w:eastAsia="等线(中文正文)"/>
          <w:b w:val="false"/>
          <w:i w:val="false"/>
          <w:sz w:val="20"/>
        </w:rPr>
        <w:t/>
      </w:r>
    </w:p>
    <w:p>
      <w:pPr>
        <w:pStyle w:val="ab"/>
        <w:numPr>
          <w:numId w:val="3"/>
        </w:numPr>
      </w:pPr>
      <w:r>
        <w:t>07:32 两轮车ABS市场潜力巨大，政策与消费趋势推动渗透率提升</w:t>
      </w:r>
    </w:p>
    <w:p>
      <w:r>
        <w:rPr>
          <w:rFonts w:ascii="等线(中文正文)" w:hAnsi="等线(中文正文)" w:cs="等线(中文正文)" w:eastAsia="等线(中文正文)"/>
          <w:b w:val="false"/>
          <w:i w:val="false"/>
          <w:sz w:val="20"/>
        </w:rPr>
        <w:t>两轮车市场，包括燃油摩托车和电动两轮车，拥有巨大容量，但ABS装配率低。政策端，工信部国标强制要求提升制动安全配置，消费端智能化、高端化趋势明显，ABS已搭载于高端车行。预计EBS将从高端向中端车型加速渗透，公司与多家摩托车厂建立稳定配套关系，两轮车业务有望成为重要增长点。</w:t>
      </w:r>
    </w:p>
    <w:p>
      <w:r>
        <w:rPr>
          <w:rFonts w:ascii="等线(中文正文)" w:hAnsi="等线(中文正文)" w:cs="等线(中文正文)" w:eastAsia="等线(中文正文)"/>
          <w:b w:val="false"/>
          <w:i w:val="false"/>
          <w:sz w:val="20"/>
        </w:rPr>
        <w:t/>
      </w:r>
    </w:p>
    <w:p>
      <w:pPr>
        <w:pStyle w:val="ab"/>
        <w:numPr>
          <w:numId w:val="4"/>
        </w:numPr>
      </w:pPr>
      <w:r>
        <w:t>10:06 2025年乘用车行业承压，公司布局海外市场与智能线控底盘</w:t>
      </w:r>
    </w:p>
    <w:p>
      <w:r>
        <w:rPr>
          <w:rFonts w:ascii="等线(中文正文)" w:hAnsi="等线(中文正文)" w:cs="等线(中文正文)" w:eastAsia="等线(中文正文)"/>
          <w:b w:val="false"/>
          <w:i w:val="false"/>
          <w:sz w:val="20"/>
        </w:rPr>
        <w:t>2025年，乘用车行业面临承压，公司通过拓展海外市场和高质量增量空间寻求突破，特别是在越南Linus客户上取得显著增长。未来，公司将顺应汽车智能化趋势，加速智能线控底盘技术突破，推进NB量产，构建一体化技术体系。在商用车领域，公司将把握新能源重卡市场机遇，提升高端产品渗透率。两轮车领域，随着前期项目量产，预计2026年将有显著放量。新兴领域如无人矿卡和低速无人车也将成为重点发力方向。同时，公司将依托现有海外客户基础，深化国际合作，优化产品和服务，稳步推动国际化战略。</w:t>
      </w:r>
    </w:p>
    <w:p>
      <w:r>
        <w:rPr>
          <w:rFonts w:ascii="等线(中文正文)" w:hAnsi="等线(中文正文)" w:cs="等线(中文正文)" w:eastAsia="等线(中文正文)"/>
          <w:b w:val="false"/>
          <w:i w:val="false"/>
          <w:sz w:val="20"/>
        </w:rPr>
        <w:t/>
      </w:r>
    </w:p>
    <w:p>
      <w:pPr>
        <w:pStyle w:val="ab"/>
        <w:numPr>
          <w:numId w:val="5"/>
        </w:numPr>
      </w:pPr>
      <w:r>
        <w:t>13:51 商用车与乘用车业务毛利率及产品结构分析</w:t>
      </w:r>
    </w:p>
    <w:p>
      <w:r>
        <w:rPr>
          <w:rFonts w:ascii="等线(中文正文)" w:hAnsi="等线(中文正文)" w:cs="等线(中文正文)" w:eastAsia="等线(中文正文)"/>
          <w:b w:val="false"/>
          <w:i w:val="false"/>
          <w:sz w:val="20"/>
        </w:rPr>
        <w:t>对话围绕商用车与乘用车业务的毛利率及产品结构展开，讨论了产品统一配套给主机厂后，不同客户毛利率的差异主要由产品结构决定，而非客户本身。指出ABS产品为主流，但ESC和EBS需求逐渐增加，且商用车业务在毛利率方面可能优于乘用车。</w:t>
      </w:r>
    </w:p>
    <w:p>
      <w:r>
        <w:rPr>
          <w:rFonts w:ascii="等线(中文正文)" w:hAnsi="等线(中文正文)" w:cs="等线(中文正文)" w:eastAsia="等线(中文正文)"/>
          <w:b w:val="false"/>
          <w:i w:val="false"/>
          <w:sz w:val="20"/>
        </w:rPr>
        <w:t/>
      </w:r>
    </w:p>
    <w:p>
      <w:pPr>
        <w:pStyle w:val="ab"/>
        <w:numPr>
          <w:numId w:val="6"/>
        </w:numPr>
      </w:pPr>
      <w:r>
        <w:t>16:36 两轮车ABS系统市场展望与竞争分析</w:t>
      </w:r>
    </w:p>
    <w:p>
      <w:r>
        <w:rPr>
          <w:rFonts w:ascii="等线(中文正文)" w:hAnsi="等线(中文正文)" w:cs="等线(中文正文)" w:eastAsia="等线(中文正文)"/>
          <w:b w:val="false"/>
          <w:i w:val="false"/>
          <w:sz w:val="20"/>
        </w:rPr>
        <w:t>对话讨论了工信部新规对两轮车ABS强制安装范围下探至125cc的影响，预计法规将于2027年实施。目前，ABS产品主要应用于中高端车型，随着安全意识提升和法规推动，渗透率有望加速。2025年摩托车市场为主，2026年电动两轮车比例将显著增加。企业核心竞争力在于自动与液压制动技术的布局，以及自2021年起的市场布局，预计2023至2025年销量将持续倍增。</w:t>
      </w:r>
    </w:p>
    <w:p>
      <w:r>
        <w:rPr>
          <w:rFonts w:ascii="等线(中文正文)" w:hAnsi="等线(中文正文)" w:cs="等线(中文正文)" w:eastAsia="等线(中文正文)"/>
          <w:b w:val="false"/>
          <w:i w:val="false"/>
          <w:sz w:val="20"/>
        </w:rPr>
        <w:t/>
      </w:r>
    </w:p>
    <w:p>
      <w:pPr>
        <w:pStyle w:val="ab"/>
        <w:numPr>
          <w:numId w:val="7"/>
        </w:numPr>
      </w:pPr>
      <w:r>
        <w:t>19:50 商用车市场趋势与主机厂合作情况</w:t>
      </w:r>
    </w:p>
    <w:p>
      <w:r>
        <w:rPr>
          <w:rFonts w:ascii="等线(中文正文)" w:hAnsi="等线(中文正文)" w:cs="等线(中文正文)" w:eastAsia="等线(中文正文)"/>
          <w:b w:val="false"/>
          <w:i w:val="false"/>
          <w:sz w:val="20"/>
        </w:rPr>
        <w:t>对话探讨了商用车市场中不同主机厂的报价策略与排产情况，指出重汽与福田可能表现更为激进，预计二季度表现优于一季度。同时，提及ENB项目正处于小批量试产阶段，具体合作客户信息暂未公开。</w:t>
      </w:r>
    </w:p>
    <w:p>
      <w:r>
        <w:rPr>
          <w:rFonts w:ascii="等线(中文正文)" w:hAnsi="等线(中文正文)" w:cs="等线(中文正文)" w:eastAsia="等线(中文正文)"/>
          <w:b w:val="false"/>
          <w:i w:val="false"/>
          <w:sz w:val="20"/>
        </w:rPr>
        <w:t/>
      </w:r>
    </w:p>
    <w:p>
      <w:pPr>
        <w:pStyle w:val="ab"/>
        <w:numPr>
          <w:numId w:val="8"/>
        </w:numPr>
      </w:pPr>
      <w:r>
        <w:t>21:38 2026年商用车EMB收入预测与智能线控底盘技术进展</w:t>
      </w:r>
    </w:p>
    <w:p>
      <w:r>
        <w:rPr>
          <w:rFonts w:ascii="等线(中文正文)" w:hAnsi="等线(中文正文)" w:cs="等线(中文正文)" w:eastAsia="等线(中文正文)"/>
          <w:b w:val="false"/>
          <w:i w:val="false"/>
          <w:sz w:val="20"/>
        </w:rPr>
        <w:t>对话围绕2026年商用车EMB法规落地后可能产生的收入展开讨论，提到初期订单规模但未给出具体数据。同时，探讨了公司在线控转向和底盘域控制器方面的技术储备与研发进展，表明虽暂未达到量产阶段，但正布局2026年的技术方向，并探索多元发展方式，包括潜在客户与产品推出计划。</w:t>
      </w:r>
    </w:p>
    <w:p>
      <w:r>
        <w:rPr>
          <w:rFonts w:ascii="等线(中文正文)" w:hAnsi="等线(中文正文)" w:cs="等线(中文正文)" w:eastAsia="等线(中文正文)"/>
          <w:b w:val="false"/>
          <w:i w:val="false"/>
          <w:sz w:val="20"/>
        </w:rPr>
        <w:t/>
      </w:r>
    </w:p>
    <w:p>
      <w:pPr>
        <w:pStyle w:val="ab"/>
        <w:numPr>
          <w:numId w:val="9"/>
        </w:numPr>
      </w:pPr>
      <w:r>
        <w:t>23:28 公司低空经济领域布局与合作进展</w:t>
      </w:r>
    </w:p>
    <w:p>
      <w:r>
        <w:rPr>
          <w:rFonts w:ascii="等线(中文正文)" w:hAnsi="等线(中文正文)" w:cs="等线(中文正文)" w:eastAsia="等线(中文正文)"/>
          <w:b w:val="false"/>
          <w:i w:val="false"/>
          <w:sz w:val="20"/>
        </w:rPr>
        <w:t>对话围绕公司在低空经济领域的布局展开，提及公司主要提供铝合金结构件，涉及飞行汽车等领域的合作与意向订单。同时，讨论了公司机动车主动安全系统业务的结构变化，指出25年与24年相比，气压ABS占比略有下降，ESC和EBS占比上升，但整体结构保持一致。</w:t>
      </w:r>
    </w:p>
    <w:p>
      <w:r>
        <w:rPr>
          <w:rFonts w:ascii="等线(中文正文)" w:hAnsi="等线(中文正文)" w:cs="等线(中文正文)" w:eastAsia="等线(中文正文)"/>
          <w:b w:val="false"/>
          <w:i w:val="false"/>
          <w:sz w:val="20"/>
        </w:rPr>
        <w:t/>
      </w:r>
    </w:p>
    <w:p>
      <w:pPr>
        <w:pStyle w:val="ab"/>
        <w:numPr>
          <w:numId w:val="10"/>
        </w:numPr>
      </w:pPr>
      <w:r>
        <w:t>25:40 电动两轮车与摩托车行业ABS装机量及价值分析</w:t>
      </w:r>
    </w:p>
    <w:p>
      <w:r>
        <w:rPr>
          <w:rFonts w:ascii="等线(中文正文)" w:hAnsi="等线(中文正文)" w:cs="等线(中文正文)" w:eastAsia="等线(中文正文)"/>
          <w:b w:val="false"/>
          <w:i w:val="false"/>
          <w:sz w:val="20"/>
        </w:rPr>
        <w:t>讨论了电动两轮车主动安装ABS作为卖点的情况，指出高端车型（三四千元以上）消费者对额外成本接受度高，且两轮车市场毛利率优于乘用车市场。预计2025年液压制动产品收入占比最高，突破100万套，强调了电动两轮车与摩托车业务在价值量和盈利上的差异，及对产品端的影响。</w:t>
      </w:r>
    </w:p>
    <w:p>
      <w:r>
        <w:rPr>
          <w:rFonts w:ascii="等线(中文正文)" w:hAnsi="等线(中文正文)" w:cs="等线(中文正文)" w:eastAsia="等线(中文正文)"/>
          <w:b w:val="false"/>
          <w:i w:val="false"/>
          <w:sz w:val="20"/>
        </w:rPr>
        <w:t/>
      </w:r>
    </w:p>
    <w:p>
      <w:pPr>
        <w:pStyle w:val="ab"/>
        <w:numPr>
          <w:numId w:val="11"/>
        </w:numPr>
      </w:pPr>
      <w:r>
        <w:t>27:48 商用车、摩托车与乘用车市场增长分析</w:t>
      </w:r>
    </w:p>
    <w:p>
      <w:r>
        <w:rPr>
          <w:rFonts w:ascii="等线(中文正文)" w:hAnsi="等线(中文正文)" w:cs="等线(中文正文)" w:eastAsia="等线(中文正文)"/>
          <w:b w:val="false"/>
          <w:i w:val="false"/>
          <w:sz w:val="20"/>
        </w:rPr>
        <w:t>讨论了商用车、摩托车、乘用车及电动两轮车在市场中的比重与未来增长趋势，预计2026年两轮车与商用车增速将领先，乘用车增长相对平稳。气压与液压技术在不同车型的应用各有侧重，未来EMB技术可能成为下一代产品发展方向，其结构在商用车与乘用车间具有较高复用性。</w:t>
      </w:r>
    </w:p>
    <w:p>
      <w:r>
        <w:rPr>
          <w:rFonts w:ascii="等线(中文正文)" w:hAnsi="等线(中文正文)" w:cs="等线(中文正文)" w:eastAsia="等线(中文正文)"/>
          <w:b w:val="false"/>
          <w:i w:val="false"/>
          <w:sz w:val="20"/>
        </w:rPr>
        <w:t/>
      </w:r>
    </w:p>
    <w:p>
      <w:pPr>
        <w:pStyle w:val="ab"/>
        <w:numPr>
          <w:numId w:val="12"/>
        </w:numPr>
      </w:pPr>
      <w:r>
        <w:t>31:44 商用车EDS政策影响与产品布局分析</w:t>
      </w:r>
    </w:p>
    <w:p>
      <w:r>
        <w:rPr>
          <w:rFonts w:ascii="等线(中文正文)" w:hAnsi="等线(中文正文)" w:cs="等线(中文正文)" w:eastAsia="等线(中文正文)"/>
          <w:b w:val="false"/>
          <w:i w:val="false"/>
          <w:sz w:val="20"/>
        </w:rPr>
        <w:t>对话围绕2026年起商用车需安装EDS产品的政策展开，分析了政策对收入和市场份额的影响，强调EBS和EAC产品的技术优势与市场认可度，以及铝合金压铸业务毛利率提升的原因，涉及客户结构调整和内部降本增效措施。</w:t>
      </w:r>
    </w:p>
    <w:p>
      <w:r>
        <w:rPr>
          <w:rFonts w:ascii="等线(中文正文)" w:hAnsi="等线(中文正文)" w:cs="等线(中文正文)" w:eastAsia="等线(中文正文)"/>
          <w:b w:val="false"/>
          <w:i w:val="false"/>
          <w:sz w:val="20"/>
        </w:rPr>
        <w:t/>
      </w:r>
    </w:p>
    <w:p>
      <w:pPr>
        <w:pStyle w:val="ab"/>
        <w:numPr>
          <w:numId w:val="13"/>
        </w:numPr>
      </w:pPr>
      <w:r>
        <w:t>35:38 业务库存增长与减值风险讨论</w:t>
      </w:r>
    </w:p>
    <w:p>
      <w:r>
        <w:rPr>
          <w:rFonts w:ascii="等线(中文正文)" w:hAnsi="等线(中文正文)" w:cs="等线(中文正文)" w:eastAsia="等线(中文正文)"/>
          <w:b w:val="false"/>
          <w:i w:val="false"/>
          <w:sz w:val="20"/>
        </w:rPr>
        <w:t>对话围绕2025年末库存量同比递增50.76%展开，解释了库存增长原因，强调产品可回炉再造特性，排除减值风险。同时，考虑到商业机密，未透露具体客户信息，仅表示库存管理良好，周转情况正常。</w:t>
      </w:r>
    </w:p>
    <w:p>
      <w:r>
        <w:rPr>
          <w:rFonts w:ascii="等线(中文正文)" w:hAnsi="等线(中文正文)" w:cs="等线(中文正文)" w:eastAsia="等线(中文正文)"/>
          <w:b w:val="false"/>
          <w:i w:val="false"/>
          <w:sz w:val="20"/>
        </w:rPr>
        <w:t/>
      </w:r>
    </w:p>
    <w:p>
      <w:pPr>
        <w:pStyle w:val="ab"/>
        <w:numPr>
          <w:numId w:val="14"/>
        </w:numPr>
      </w:pPr>
      <w:r>
        <w:t>36:28 2026年铝合金压铸业务收入与毛利率展望</w:t>
      </w:r>
    </w:p>
    <w:p>
      <w:r>
        <w:rPr>
          <w:rFonts w:ascii="等线(中文正文)" w:hAnsi="等线(中文正文)" w:cs="等线(中文正文)" w:eastAsia="等线(中文正文)"/>
          <w:b w:val="false"/>
          <w:i w:val="false"/>
          <w:sz w:val="20"/>
        </w:rPr>
        <w:t>对话讨论了公司对2026年铝合金压铸业务的收入和毛利率展望，指出将在2025年基础上实现增长，并通过优化产品结构提升毛利率。去年四季度毛利率提升源于海外高毛利产品引入，而今年则受益于ESC和EBS等高价值产品放量。预计2026年全年毛利率将持续提升，尤其是下半年表现优于上半年。</w:t>
      </w:r>
    </w:p>
    <w:p>
      <w:r>
        <w:rPr>
          <w:rFonts w:ascii="等线(中文正文)" w:hAnsi="等线(中文正文)" w:cs="等线(中文正文)" w:eastAsia="等线(中文正文)"/>
          <w:b w:val="false"/>
          <w:i w:val="false"/>
          <w:sz w:val="20"/>
        </w:rPr>
        <w:t/>
      </w:r>
    </w:p>
    <w:p>
      <w:pPr>
        <w:pStyle w:val="ab"/>
        <w:numPr>
          <w:numId w:val="15"/>
        </w:numPr>
      </w:pPr>
      <w:r>
        <w:t>39:15 商用车市场分析与未来增长预期</w:t>
      </w:r>
    </w:p>
    <w:p>
      <w:r>
        <w:rPr>
          <w:rFonts w:ascii="等线(中文正文)" w:hAnsi="等线(中文正文)" w:cs="等线(中文正文)" w:eastAsia="等线(中文正文)"/>
          <w:b w:val="false"/>
          <w:i w:val="false"/>
          <w:sz w:val="20"/>
        </w:rPr>
        <w:t>对话围绕商用车市场现状及未来增长预期展开，指出当前价格已回归市场竞争后的合理水平，预计下半年价格不会出现显著下降。讨论了四季度销售、研发和财务费用可能略高的原因，特别是奖金发放的影响。对于2026年主要产品增长目标，基于终端销量（如重卡）超出年初预期，维持了对EBS等高阶产品的50%增长预期，同时强调ABS产品因基数大对整体增速的影响，整体增速将被稀释。</w:t>
      </w:r>
    </w:p>
    <w:p>
      <w:r>
        <w:rPr>
          <w:rFonts w:ascii="等线(中文正文)" w:hAnsi="等线(中文正文)" w:cs="等线(中文正文)" w:eastAsia="等线(中文正文)"/>
          <w:b w:val="false"/>
          <w:i w:val="false"/>
          <w:sz w:val="20"/>
        </w:rPr>
        <w:t/>
      </w:r>
    </w:p>
    <w:p>
      <w:pPr>
        <w:pStyle w:val="ab"/>
        <w:numPr>
          <w:numId w:val="16"/>
        </w:numPr>
      </w:pPr>
      <w:r>
        <w:t>41:49 公司固定资产转固与海外市场拓展规划</w:t>
      </w:r>
    </w:p>
    <w:p>
      <w:r>
        <w:rPr>
          <w:rFonts w:ascii="等线(中文正文)" w:hAnsi="等线(中文正文)" w:cs="等线(中文正文)" w:eastAsia="等线(中文正文)"/>
          <w:b w:val="false"/>
          <w:i w:val="false"/>
          <w:sz w:val="20"/>
        </w:rPr>
        <w:t>讨论了未来几年固定资产转固情况，指出2026年转固规模不会过大，主要聚焦国内市场，同时计划务实开拓一带一路国家的海外市场。提及募投项目延期原因与产能需求匹配，以及全资控股武汉福克斯子公司后对业务和技术团队的影响，强调了股权激励工具的潜在应用。</w:t>
      </w:r>
    </w:p>
    <w:p>
      <w:r>
        <w:rPr>
          <w:rFonts w:ascii="等线(中文正文)" w:hAnsi="等线(中文正文)" w:cs="等线(中文正文)" w:eastAsia="等线(中文正文)"/>
          <w:b w:val="false"/>
          <w:i w:val="false"/>
          <w:sz w:val="20"/>
        </w:rPr>
        <w:t/>
      </w:r>
    </w:p>
    <w:p>
      <w:pPr>
        <w:pStyle w:val="ab"/>
        <w:numPr>
          <w:numId w:val="17"/>
        </w:numPr>
      </w:pPr>
      <w:r>
        <w:t>47:18 商用车与乘用车制动系统市场分析</w:t>
      </w:r>
    </w:p>
    <w:p>
      <w:r>
        <w:rPr>
          <w:rFonts w:ascii="等线(中文正文)" w:hAnsi="等线(中文正文)" w:cs="等线(中文正文)" w:eastAsia="等线(中文正文)"/>
          <w:b w:val="false"/>
          <w:i w:val="false"/>
          <w:sz w:val="20"/>
        </w:rPr>
        <w:t>对话围绕商用车与乘用车制动系统市场展开，详细讨论了ABS、EBS、ESC、EHB等产品的市场分布与增长潜力，特别强调了EBS和ESC在不同车型上的应用及政策影响，指出EBS和ESC在专用车上共存且互相替代，未来市场增长弹性较大，尤其是EBS受益于法规推动，预计渗透率将显著提升。</w:t>
      </w:r>
    </w:p>
    <w:p>
      <w:r>
        <w:rPr>
          <w:rFonts w:ascii="等线(中文正文)" w:hAnsi="等线(中文正文)" w:cs="等线(中文正文)" w:eastAsia="等线(中文正文)"/>
          <w:b w:val="false"/>
          <w:i w:val="false"/>
          <w:sz w:val="20"/>
        </w:rPr>
        <w:t/>
      </w:r>
    </w:p>
    <w:p>
      <w:pPr>
        <w:pStyle w:val="ab"/>
        <w:numPr>
          <w:numId w:val="18"/>
        </w:numPr>
      </w:pPr>
      <w:r>
        <w:t>54:31 热力科技产品国产化与市场展望</w:t>
      </w:r>
    </w:p>
    <w:p>
      <w:r>
        <w:rPr>
          <w:rFonts w:ascii="等线(中文正文)" w:hAnsi="等线(中文正文)" w:cs="等线(中文正文)" w:eastAsia="等线(中文正文)"/>
          <w:b w:val="false"/>
          <w:i w:val="false"/>
          <w:sz w:val="20"/>
        </w:rPr>
        <w:t>对话围绕热力科技产品的国产化进展、摩托车业务中电动与燃油比例变化及商用车EPB装配率提升趋势展开。核心芯片国产化率虽低，但有备份方案。摩托车业务中，25年燃油仍为主，但电动比例将上升。商用车EPB装配意愿增强，尤其在重卡领域，安全需求推动电子化。</w:t>
      </w:r>
    </w:p>
    <w:p>
      <w:r>
        <w:rPr>
          <w:rFonts w:ascii="等线(中文正文)" w:hAnsi="等线(中文正文)" w:cs="等线(中文正文)" w:eastAsia="等线(中文正文)"/>
          <w:b w:val="false"/>
          <w:i w:val="false"/>
          <w:sz w:val="20"/>
        </w:rPr>
        <w:t/>
      </w:r>
    </w:p>
    <w:p>
      <w:pPr>
        <w:pStyle w:val="a7"/>
      </w:pPr>
      <w:r>
        <w:t>发言总结</w:t>
      </w:r>
    </w:p>
    <w:p>
      <w:pPr>
        <w:pStyle w:val="ab"/>
        <w:numPr>
          <w:numId w:val="19"/>
        </w:numPr>
      </w:pPr>
      <w:r>
        <w:t>发言人1</w:t>
      </w:r>
    </w:p>
    <w:p>
      <w:r>
        <w:rPr>
          <w:rFonts w:ascii="等线(中文正文)" w:hAnsi="等线(中文正文)" w:cs="等线(中文正文)" w:eastAsia="等线(中文正文)"/>
          <w:b w:val="false"/>
          <w:i w:val="false"/>
          <w:sz w:val="20"/>
        </w:rPr>
        <w:t>他对瑞丽科密公司2025年的业绩表现进行了详细介绍，指出公司实现了23.93亿元的收入和3.3亿元的利润，同比增长超过20%，表现极为出色。特别是在商用车、两轮车和乘用车领域，公司技术持续提升，产品结构优化，专注于线控底盘领域的技术突破与市场应用。他还强调了公司对两轮车市场的积极展望，特别是对电动两轮车和高端摩托车市场的看好。未来，公司计划在智能化和国际化方面深入发展，关注无人矿卡、低速无人车等新兴市场，并持续探索海外市场机会，以巩固和扩大市场份额。最后，他回应了投资者对公司业务模式、产品线和市场策略的提问，表示公司将在保持现有业务优势的同时，积极布局未来增长点。</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问：尊敬的投资者和分析师们，能否请您先简要介绍一下我们公司在2025年年报中的基本情况？</w:t>
      </w:r>
    </w:p>
    <w:p>
      <w:r>
        <w:rPr>
          <w:rFonts w:ascii="等线(中文正文)" w:hAnsi="等线(中文正文)" w:cs="等线(中文正文)" w:eastAsia="等线(中文正文)"/>
          <w:b w:val="false"/>
          <w:i w:val="false"/>
          <w:sz w:val="20"/>
        </w:rPr>
        <w:t>发言人1 答：好的，感谢您的提问。我是瑞丽科密的财务负责人兼董事会秘书沈世白。今天我很荣幸代表公司管理层与大家分享过去一年的经营成果。2025年，公司的全年营业收入达到了23.93亿元人民币，同比增长了21%。归属于上市公司股东的净利润为3.3亿元人民币，同比增长23.75%，利润增速略高于收入增速。从毛利率水平来看，我们的综合毛利率从2024年的28.73%提升至2025年的29.29%，主营业务的毛利率也由28.70%提高至29.17%，整体保持了稳定趋势。受益于规模效应释放及高附加值产品的占比提升，公司在第四季度主营业务的毛利率再次回升至30%以上。</w:t>
      </w:r>
    </w:p>
    <w:p>
      <w:r>
        <w:rPr>
          <w:rFonts w:ascii="等线(中文正文)" w:hAnsi="等线(中文正文)" w:cs="等线(中文正文)" w:eastAsia="等线(中文正文)"/>
          <w:b w:val="false"/>
          <w:i w:val="false"/>
          <w:sz w:val="20"/>
        </w:rPr>
        <w:t/>
      </w:r>
    </w:p>
    <w:p>
      <w:pPr>
        <w:pStyle w:val="ab"/>
      </w:pPr>
      <w:r>
        <w:t>发言人1 问：2025年公司有哪些主要的业绩亮点，可以请您分几个下游应用领域来介绍一下吗？法规方面对公司商用车业务的影响体现在何时？</w:t>
      </w:r>
    </w:p>
    <w:p>
      <w:r>
        <w:rPr>
          <w:rFonts w:ascii="等线(中文正文)" w:hAnsi="等线(中文正文)" w:cs="等线(中文正文)" w:eastAsia="等线(中文正文)"/>
          <w:b w:val="false"/>
          <w:i w:val="false"/>
          <w:sz w:val="20"/>
        </w:rPr>
        <w:t>发言人1 答：当然可以。首先，在商用车领域，2025年国内商用车产销分别增长了10%以上，行业整体平稳复苏。公司在商用车领域的销售收入同比增长超过行业平均水平约12%，主要得益于气压制动产品的强劲销售，其中气压制动产品继续保持20%以上的增长态势。2025年也被视为商用车智能驾驶的元年，L2级智能驾驶渗透率显著提升，叠加新能源重卡渗透率的快速上升，带动了公司ESC、EBS等高价值电控制动系统的市场需求增长。此外，智能驾驶在矿山、港口等场景的加速落地对制动系统的精准控制提出了更高要求，推动了EBS、ETBA、EBS等产品的配套规模持续放大。法规端构成了刚性的驱动，但这种影响在2025年全年并未充分体现。法规预计将在2025年4月份初步落地，并在六年后正式实施。尽管如此，我们在四季度已看到一些前置影响，尤其是在电控制动产品的渗透率快速提升，单车配套的品类更加丰富。整体来看，我们在EBS和ESC产品上的出货量同比都有超过50%的增长，同时ESS产品作为实现自动转向悬架一体化底盘域控制的关键组成部分，对高阶智能驾驶起到支撑作用。</w:t>
      </w:r>
    </w:p>
    <w:p>
      <w:r>
        <w:rPr>
          <w:rFonts w:ascii="等线(中文正文)" w:hAnsi="等线(中文正文)" w:cs="等线(中文正文)" w:eastAsia="等线(中文正文)"/>
          <w:b w:val="false"/>
          <w:i w:val="false"/>
          <w:sz w:val="20"/>
        </w:rPr>
        <w:t/>
      </w:r>
    </w:p>
    <w:p>
      <w:pPr>
        <w:pStyle w:val="ab"/>
      </w:pPr>
      <w:r>
        <w:t>发言人1 问：商用车领域对公司的影响及客户结构的变化情况如何？</w:t>
      </w:r>
    </w:p>
    <w:p>
      <w:r>
        <w:rPr>
          <w:rFonts w:ascii="等线(中文正文)" w:hAnsi="等线(中文正文)" w:cs="等线(中文正文)" w:eastAsia="等线(中文正文)"/>
          <w:b w:val="false"/>
          <w:i w:val="false"/>
          <w:sz w:val="20"/>
        </w:rPr>
        <w:t>发言人1 答：随着国内商用车智能化升级加速和用户对行驶舒适性和安全性要求的提升，公司客户结构更加优化，成功批量配套了宇通客车、北汽福田、东风汽车、一汽解放、潍柴控股和比亚迪等头部企业。公司凭借自主可控的控制策略、更快的响应速度和更高的性价比，有望持续扩大市场份额。此外，在商用车领域，公司已实现国内主流整车厂全覆盖，头部客户订单贡献显著，尤其在前五大客户中，有三家商用车龙头企业，且在各自领域表现出色，实现了收入快速增长。</w:t>
      </w:r>
    </w:p>
    <w:p>
      <w:r>
        <w:rPr>
          <w:rFonts w:ascii="等线(中文正文)" w:hAnsi="等线(中文正文)" w:cs="等线(中文正文)" w:eastAsia="等线(中文正文)"/>
          <w:b w:val="false"/>
          <w:i w:val="false"/>
          <w:sz w:val="20"/>
        </w:rPr>
        <w:t/>
      </w:r>
    </w:p>
    <w:p>
      <w:pPr>
        <w:pStyle w:val="ab"/>
      </w:pPr>
      <w:r>
        <w:t>发言人1 问：两轮车领域的发展情况如何？</w:t>
      </w:r>
    </w:p>
    <w:p>
      <w:r>
        <w:rPr>
          <w:rFonts w:ascii="等线(中文正文)" w:hAnsi="等线(中文正文)" w:cs="等线(中文正文)" w:eastAsia="等线(中文正文)"/>
          <w:b w:val="false"/>
          <w:i w:val="false"/>
          <w:sz w:val="20"/>
        </w:rPr>
        <w:t>发言人1 答：在两轮车领域，市场容量巨大，ABS渗透率仍处于较低水平。燃油摩托车和电动两轮车市场规模分别为2000万辆和5000万辆，且均呈现双位数增长。2025年，随着工信部强制性国标的正式落地，ABS配置要求下探至125排量以上摩托车市场，补齐了安全短板。消费端，电动两轮车消费智能化和高端化趋势明显，ABS已搭载于售价4000元以上的高端车型。2025年，公司摩托车业务在两轮车领域保持倍增趋势，与春风、钱江、大冶等企业建立了稳定的配套关系，并积极对接雅迪、台铃等头部企业，两轮车业务对公司整体收入结构的重要性快速提升，有望成为继商用车之后的另一个重要增长点。</w:t>
      </w:r>
    </w:p>
    <w:p>
      <w:r>
        <w:rPr>
          <w:rFonts w:ascii="等线(中文正文)" w:hAnsi="等线(中文正文)" w:cs="等线(中文正文)" w:eastAsia="等线(中文正文)"/>
          <w:b w:val="false"/>
          <w:i w:val="false"/>
          <w:sz w:val="20"/>
        </w:rPr>
        <w:t/>
      </w:r>
    </w:p>
    <w:p>
      <w:pPr>
        <w:pStyle w:val="ab"/>
      </w:pPr>
      <w:r>
        <w:t>发言人1 问：在乘用车领域，公司的策略是什么？</w:t>
      </w:r>
    </w:p>
    <w:p>
      <w:r>
        <w:rPr>
          <w:rFonts w:ascii="等线(中文正文)" w:hAnsi="等线(中文正文)" w:cs="等线(中文正文)" w:eastAsia="等线(中文正文)"/>
          <w:b w:val="false"/>
          <w:i w:val="false"/>
          <w:sz w:val="20"/>
        </w:rPr>
        <w:t>发言人1 答：面对乘用车行业整体承压和国内市场激烈竞争的环境，公司在2025年更加主动地将目光投向海外市场，寻求更高质量的增长空间。公司在乘用车领域取得了一些突破，特别是在越南linus这一重点客户上实现了大幅度增长，验证了公司液压制动产品的竞争力。</w:t>
      </w:r>
    </w:p>
    <w:p>
      <w:r>
        <w:rPr>
          <w:rFonts w:ascii="等线(中文正文)" w:hAnsi="等线(中文正文)" w:cs="等线(中文正文)" w:eastAsia="等线(中文正文)"/>
          <w:b w:val="false"/>
          <w:i w:val="false"/>
          <w:sz w:val="20"/>
        </w:rPr>
        <w:t/>
      </w:r>
    </w:p>
    <w:p>
      <w:pPr>
        <w:pStyle w:val="ab"/>
      </w:pPr>
      <w:r>
        <w:t>发言人1 问：在商用车领域，公司是如何把握政策红利和市场机遇的？公司在两轮车领域的发展规划如何？</w:t>
      </w:r>
    </w:p>
    <w:p>
      <w:r>
        <w:rPr>
          <w:rFonts w:ascii="等线(中文正文)" w:hAnsi="等线(中文正文)" w:cs="等线(中文正文)" w:eastAsia="等线(中文正文)"/>
          <w:b w:val="false"/>
          <w:i w:val="false"/>
          <w:sz w:val="20"/>
        </w:rPr>
        <w:t>发言人1 答：作为商用车龙头企业，公司坚定把握趋势，将重点放在提升高价产品在头部主机厂的渗透率上。同时，公司也关注到商用车市场的持续增长，特别是新能源重卡渗透率的提升带来的对高价产品的需求增长。在两轮车领域，随着之前项目在2025年的量产落地，预计2026年将有较好的放量增长。公司将继续拓展国内外客户的机会，并看好低速无人车市场的前景，计划将其作为2026年的重点发力方向。</w:t>
      </w:r>
    </w:p>
    <w:p>
      <w:r>
        <w:rPr>
          <w:rFonts w:ascii="等线(中文正文)" w:hAnsi="等线(中文正文)" w:cs="等线(中文正文)" w:eastAsia="等线(中文正文)"/>
          <w:b w:val="false"/>
          <w:i w:val="false"/>
          <w:sz w:val="20"/>
        </w:rPr>
        <w:t/>
      </w:r>
    </w:p>
    <w:p>
      <w:pPr>
        <w:pStyle w:val="ab"/>
      </w:pPr>
      <w:r>
        <w:t>发言人1 问：商用车业务在国内市场的表现以及与乘用车的比较如何？公司如何看待2027年商用车领域放量的可能性以及自身市场份额和竞争优势？</w:t>
      </w:r>
    </w:p>
    <w:p>
      <w:r>
        <w:rPr>
          <w:rFonts w:ascii="等线(中文正文)" w:hAnsi="等线(中文正文)" w:cs="等线(中文正文)" w:eastAsia="等线(中文正文)"/>
          <w:b w:val="false"/>
          <w:i w:val="false"/>
          <w:sz w:val="20"/>
        </w:rPr>
        <w:t>发言人1 答：商用车业务在国内市场的表现较好，贝塔水平优于乘用车，有与乘用车竞争的机会。公司预计到2027年商用车领域会有放量，自身在制动领域具备技术和市场布局优势，能够实现降维竞争。从2023年到2025年，公司的相关业务保持倍增趋势，预计2026年仍能延续这一趋势。</w:t>
      </w:r>
    </w:p>
    <w:p>
      <w:r>
        <w:rPr>
          <w:rFonts w:ascii="等线(中文正文)" w:hAnsi="等线(中文正文)" w:cs="等线(中文正文)" w:eastAsia="等线(中文正文)"/>
          <w:b w:val="false"/>
          <w:i w:val="false"/>
          <w:sz w:val="20"/>
        </w:rPr>
        <w:t/>
      </w:r>
    </w:p>
    <w:p>
      <w:pPr>
        <w:pStyle w:val="ab"/>
      </w:pPr>
      <w:r>
        <w:t>发言人1 问：公司如何看待海外市场的发展及其面临的挑战？</w:t>
      </w:r>
    </w:p>
    <w:p>
      <w:r>
        <w:rPr>
          <w:rFonts w:ascii="等线(中文正文)" w:hAnsi="等线(中文正文)" w:cs="等线(中文正文)" w:eastAsia="等线(中文正文)"/>
          <w:b w:val="false"/>
          <w:i w:val="false"/>
          <w:sz w:val="20"/>
        </w:rPr>
        <w:t>发言人1 答：尽管海外市场存在地缘政策复杂性和随机性，但公司会依托现有的海外客户基础，积极与海外整车厂商开展合作，针对市场需求开发适配产品及提供本地化服务，稳步推进国际化战略。</w:t>
      </w:r>
    </w:p>
    <w:p>
      <w:r>
        <w:rPr>
          <w:rFonts w:ascii="等线(中文正文)" w:hAnsi="等线(中文正文)" w:cs="等线(中文正文)" w:eastAsia="等线(中文正文)"/>
          <w:b w:val="false"/>
          <w:i w:val="false"/>
          <w:sz w:val="20"/>
        </w:rPr>
        <w:t/>
      </w:r>
    </w:p>
    <w:p>
      <w:pPr>
        <w:pStyle w:val="ab"/>
      </w:pPr>
      <w:r>
        <w:t>发言人1 问：公司产品在商用车领域的配套情况如何？</w:t>
      </w:r>
    </w:p>
    <w:p>
      <w:r>
        <w:rPr>
          <w:rFonts w:ascii="等线(中文正文)" w:hAnsi="等线(中文正文)" w:cs="等线(中文正文)" w:eastAsia="等线(中文正文)"/>
          <w:b w:val="false"/>
          <w:i w:val="false"/>
          <w:sz w:val="20"/>
        </w:rPr>
        <w:t>发言人1 答：公司产品目前统一供给国内主机厂，无论出口还是内需。关于主机厂的具体需求信息，公司并非完全掌握。产品在不同客户间存在毛利率差异，主要是由于产品结构的不同导致，而非客户单个客户上的毛利率问题。</w:t>
      </w:r>
    </w:p>
    <w:p>
      <w:r>
        <w:rPr>
          <w:rFonts w:ascii="等线(中文正文)" w:hAnsi="等线(中文正文)" w:cs="等线(中文正文)" w:eastAsia="等线(中文正文)"/>
          <w:b w:val="false"/>
          <w:i w:val="false"/>
          <w:sz w:val="20"/>
        </w:rPr>
        <w:t/>
      </w:r>
    </w:p>
    <w:p>
      <w:pPr>
        <w:pStyle w:val="ab"/>
      </w:pPr>
      <w:r>
        <w:t>发言人1 问：对于商用车业务，其整体毛利率水平是否会因产品结构差异而有所不同？</w:t>
      </w:r>
    </w:p>
    <w:p>
      <w:r>
        <w:rPr>
          <w:rFonts w:ascii="等线(中文正文)" w:hAnsi="等线(中文正文)" w:cs="等线(中文正文)" w:eastAsia="等线(中文正文)"/>
          <w:b w:val="false"/>
          <w:i w:val="false"/>
          <w:sz w:val="20"/>
        </w:rPr>
        <w:t>发言人1 答：整体来看，2025年大部分客户仍以ABS产品为主，但ESC和EBS的需求占比逐渐提升。产品结构差异确实会导致毛利率的不同，不过整体行业的毛利率分化并不严重。</w:t>
      </w:r>
    </w:p>
    <w:p>
      <w:r>
        <w:rPr>
          <w:rFonts w:ascii="等线(中文正文)" w:hAnsi="等线(中文正文)" w:cs="等线(中文正文)" w:eastAsia="等线(中文正文)"/>
          <w:b w:val="false"/>
          <w:i w:val="false"/>
          <w:sz w:val="20"/>
        </w:rPr>
        <w:t/>
      </w:r>
    </w:p>
    <w:p>
      <w:pPr>
        <w:pStyle w:val="ab"/>
      </w:pPr>
      <w:r>
        <w:t>发言人1 问：关于新规要求AABS强制安装范围下探至125mm，公司对此有何展望及行业渗透率预测？</w:t>
      </w:r>
    </w:p>
    <w:p>
      <w:r>
        <w:rPr>
          <w:rFonts w:ascii="等线(中文正文)" w:hAnsi="等线(中文正文)" w:cs="等线(中文正文)" w:eastAsia="等线(中文正文)"/>
          <w:b w:val="false"/>
          <w:i w:val="false"/>
          <w:sz w:val="20"/>
        </w:rPr>
        <w:t>发言人1 答：新规从2027年开始正式实施，目前ABS产品需求主要来自中高端车型。随着安全意识增强和法规影响，预计整体渗透率将加快。公司在2025年以摩托车和电摩为主，电动两轮车比例将会上升，而电动两轮车目前不在法规强制范畴内，但符合终端用户主动安全需求。</w:t>
      </w:r>
    </w:p>
    <w:p>
      <w:r>
        <w:rPr>
          <w:rFonts w:ascii="等线(中文正文)" w:hAnsi="等线(中文正文)" w:cs="等线(中文正文)" w:eastAsia="等线(中文正文)"/>
          <w:b w:val="false"/>
          <w:i w:val="false"/>
          <w:sz w:val="20"/>
        </w:rPr>
        <w:t/>
      </w:r>
    </w:p>
    <w:p>
      <w:pPr>
        <w:pStyle w:val="ab"/>
      </w:pPr>
      <w:r>
        <w:t>发言人1 问：商用车客户维度上，哪家企业的报价策略更激进？以及二季度排产情况是否比一季度更好？</w:t>
      </w:r>
    </w:p>
    <w:p>
      <w:r>
        <w:rPr>
          <w:rFonts w:ascii="等线(中文正文)" w:hAnsi="等线(中文正文)" w:cs="等线(中文正文)" w:eastAsia="等线(中文正文)"/>
          <w:b w:val="false"/>
          <w:i w:val="false"/>
          <w:sz w:val="20"/>
        </w:rPr>
        <w:t>发言人1 答：根据销售前端感受，重汽可能比其他企业更激进，二季度排产指引会比一季度更好。</w:t>
      </w:r>
    </w:p>
    <w:p>
      <w:r>
        <w:rPr>
          <w:rFonts w:ascii="等线(中文正文)" w:hAnsi="等线(中文正文)" w:cs="等线(中文正文)" w:eastAsia="等线(中文正文)"/>
          <w:b w:val="false"/>
          <w:i w:val="false"/>
          <w:sz w:val="20"/>
        </w:rPr>
        <w:t/>
      </w:r>
    </w:p>
    <w:p>
      <w:pPr>
        <w:pStyle w:val="ab"/>
      </w:pPr>
      <w:r>
        <w:t>发言人1 问：关于ENB产品的量产时间和首批合作主机厂的情况能否分享？</w:t>
      </w:r>
    </w:p>
    <w:p>
      <w:r>
        <w:rPr>
          <w:rFonts w:ascii="等线(中文正文)" w:hAnsi="等线(中文正文)" w:cs="等线(中文正文)" w:eastAsia="等线(中文正文)"/>
          <w:b w:val="false"/>
          <w:i w:val="false"/>
          <w:sz w:val="20"/>
        </w:rPr>
        <w:t>发言人1 答：目前ENB产品处于小批量试制阶段，具体的客户信息暂时不便透露。预计2026年该部分将产生批量收入，但初期订单规模尚无法给出明确数据。</w:t>
      </w:r>
    </w:p>
    <w:p>
      <w:r>
        <w:rPr>
          <w:rFonts w:ascii="等线(中文正文)" w:hAnsi="等线(中文正文)" w:cs="等线(中文正文)" w:eastAsia="等线(中文正文)"/>
          <w:b w:val="false"/>
          <w:i w:val="false"/>
          <w:sz w:val="20"/>
        </w:rPr>
        <w:t/>
      </w:r>
    </w:p>
    <w:p>
      <w:pPr>
        <w:pStyle w:val="ab"/>
      </w:pPr>
      <w:r>
        <w:t>发言人1 问：公司在线控转向和底盘域控制器方面的发展和技术储备情况如何？是否有明确的产品推出计划和潜在客户？</w:t>
      </w:r>
    </w:p>
    <w:p>
      <w:r>
        <w:rPr>
          <w:rFonts w:ascii="等线(中文正文)" w:hAnsi="等线(中文正文)" w:cs="等线(中文正文)" w:eastAsia="等线(中文正文)"/>
          <w:b w:val="false"/>
          <w:i w:val="false"/>
          <w:sz w:val="20"/>
        </w:rPr>
        <w:t>发言人1 答：公司在线控转向领域目前处于技术布局阶段，尚未进入实质量产阶段，但这是2026年的布局方向。同时，公司也在探索多元布局方式，包括内生发展和其他合作途径。</w:t>
      </w:r>
    </w:p>
    <w:p>
      <w:r>
        <w:rPr>
          <w:rFonts w:ascii="等线(中文正文)" w:hAnsi="等线(中文正文)" w:cs="等线(中文正文)" w:eastAsia="等线(中文正文)"/>
          <w:b w:val="false"/>
          <w:i w:val="false"/>
          <w:sz w:val="20"/>
        </w:rPr>
        <w:t/>
      </w:r>
    </w:p>
    <w:p>
      <w:pPr>
        <w:pStyle w:val="ab"/>
      </w:pPr>
      <w:r>
        <w:t>发言人1 问：从结构上讲，25年和24年的差异大吗？</w:t>
      </w:r>
    </w:p>
    <w:p>
      <w:r>
        <w:rPr>
          <w:rFonts w:ascii="等线(中文正文)" w:hAnsi="等线(中文正文)" w:cs="等线(中文正文)" w:eastAsia="等线(中文正文)"/>
          <w:b w:val="false"/>
          <w:i w:val="false"/>
          <w:sz w:val="20"/>
        </w:rPr>
        <w:t>发言人1 答：到24年整体结构还是比较一致的，气压、液压和铝压铸等产品比例与24年相比变化不大。其中，气压ABS产品的结构占比稍微下降，而ESC和EBS占比略有上升，但由于基数较低，整体结构影响不大。</w:t>
      </w:r>
    </w:p>
    <w:p>
      <w:r>
        <w:rPr>
          <w:rFonts w:ascii="等线(中文正文)" w:hAnsi="等线(中文正文)" w:cs="等线(中文正文)" w:eastAsia="等线(中文正文)"/>
          <w:b w:val="false"/>
          <w:i w:val="false"/>
          <w:sz w:val="20"/>
        </w:rPr>
        <w:t/>
      </w:r>
    </w:p>
    <w:p>
      <w:pPr>
        <w:pStyle w:val="ab"/>
      </w:pPr>
      <w:r>
        <w:t>发言人1 问：电动两轮车装ABS是主动需求还是政策推动？</w:t>
      </w:r>
    </w:p>
    <w:p>
      <w:r>
        <w:rPr>
          <w:rFonts w:ascii="等线(中文正文)" w:hAnsi="等线(中文正文)" w:cs="等线(中文正文)" w:eastAsia="等线(中文正文)"/>
          <w:b w:val="false"/>
          <w:i w:val="false"/>
          <w:sz w:val="20"/>
        </w:rPr>
        <w:t>发言人1 答：目前行业对于电动两轮车装ABS主要是主动需求，消费者愿意在三四千块钱价格段以上的电动两轮车上配备ABS作为销售卖点，并非完全由政策驱动。</w:t>
      </w:r>
    </w:p>
    <w:p>
      <w:r>
        <w:rPr>
          <w:rFonts w:ascii="等线(中文正文)" w:hAnsi="等线(中文正文)" w:cs="等线(中文正文)" w:eastAsia="等线(中文正文)"/>
          <w:b w:val="false"/>
          <w:i w:val="false"/>
          <w:sz w:val="20"/>
        </w:rPr>
        <w:t/>
      </w:r>
    </w:p>
    <w:p>
      <w:pPr>
        <w:pStyle w:val="ab"/>
      </w:pPr>
      <w:r>
        <w:t>发言人1 问：电动两轮车和摩托车业务在价值量、盈利及产品端有何区别？</w:t>
      </w:r>
    </w:p>
    <w:p>
      <w:r>
        <w:rPr>
          <w:rFonts w:ascii="等线(中文正文)" w:hAnsi="等线(中文正文)" w:cs="等线(中文正文)" w:eastAsia="等线(中文正文)"/>
          <w:b w:val="false"/>
          <w:i w:val="false"/>
          <w:sz w:val="20"/>
        </w:rPr>
        <w:t>发言人1 答：电动两轮车业务的价值量较低，对整个电动两轮车的泵结构影响相对较小。不过，该类产品的毛利率相比乘用车更好，更不易陷入激烈竞争。2025年液压制动产品收入占比将突破100万套，商用车、摩托车、乘用车和电动两轮车的比重接近50%。预计到2026年，两轮车和商用车增量会比较快，商用车增速有望保持在20%以上，而乘用车则相对平稳。</w:t>
      </w:r>
    </w:p>
    <w:p>
      <w:r>
        <w:rPr>
          <w:rFonts w:ascii="等线(中文正文)" w:hAnsi="等线(中文正文)" w:cs="等线(中文正文)" w:eastAsia="等线(中文正文)"/>
          <w:b w:val="false"/>
          <w:i w:val="false"/>
          <w:sz w:val="20"/>
        </w:rPr>
        <w:t/>
      </w:r>
    </w:p>
    <w:p>
      <w:pPr>
        <w:pStyle w:val="ab"/>
      </w:pPr>
      <w:r>
        <w:t>发言人1 问：气压和液压制动部件在商用车和乘用车上的应用差异是什么？</w:t>
      </w:r>
    </w:p>
    <w:p>
      <w:r>
        <w:rPr>
          <w:rFonts w:ascii="等线(中文正文)" w:hAnsi="等线(中文正文)" w:cs="等线(中文正文)" w:eastAsia="等线(中文正文)"/>
          <w:b w:val="false"/>
          <w:i w:val="false"/>
          <w:sz w:val="20"/>
        </w:rPr>
        <w:t>发言人1 答：气压和液压制动部件在中重卡、大型客车、罐车中通常使用液压制动，而在轻卡、皮卡、乘用车以及摩托车中更多采用气压制动。两者在各自的下游领域不存在直接替代关系，但未来下一代产品可能会以ENB为主导。</w:t>
      </w:r>
    </w:p>
    <w:p>
      <w:r>
        <w:rPr>
          <w:rFonts w:ascii="等线(中文正文)" w:hAnsi="等线(中文正文)" w:cs="等线(中文正文)" w:eastAsia="等线(中文正文)"/>
          <w:b w:val="false"/>
          <w:i w:val="false"/>
          <w:sz w:val="20"/>
        </w:rPr>
        <w:t/>
      </w:r>
    </w:p>
    <w:p>
      <w:pPr>
        <w:pStyle w:val="ab"/>
      </w:pPr>
      <w:r>
        <w:t>发言人1 问：政策执行对收入端和市场份额的影响如何？</w:t>
      </w:r>
    </w:p>
    <w:p>
      <w:r>
        <w:rPr>
          <w:rFonts w:ascii="等线(中文正文)" w:hAnsi="等线(中文正文)" w:cs="等线(中文正文)" w:eastAsia="等线(中文正文)"/>
          <w:b w:val="false"/>
          <w:i w:val="false"/>
          <w:sz w:val="20"/>
        </w:rPr>
        <w:t>发言人1 答：政策分两个阶段实施，今年1月起针对新公告车型，下半年所有新生产车辆均需安装EDS产品。今年上半年增速较慢，下半年增速将更为陡峭。公司EBS产品具有性价比优势和技术壁垒，有望延续ABS的高市场份额。</w:t>
      </w:r>
    </w:p>
    <w:p>
      <w:r>
        <w:rPr>
          <w:rFonts w:ascii="等线(中文正文)" w:hAnsi="等线(中文正文)" w:cs="等线(中文正文)" w:eastAsia="等线(中文正文)"/>
          <w:b w:val="false"/>
          <w:i w:val="false"/>
          <w:sz w:val="20"/>
        </w:rPr>
        <w:t/>
      </w:r>
    </w:p>
    <w:p>
      <w:pPr>
        <w:pStyle w:val="ab"/>
      </w:pPr>
      <w:r>
        <w:t>发言人1 问：2025年铝合金压铸业务收入下滑而毛利率显著提升的原因是什么？</w:t>
      </w:r>
    </w:p>
    <w:p>
      <w:r>
        <w:rPr>
          <w:rFonts w:ascii="等线(中文正文)" w:hAnsi="等线(中文正文)" w:cs="等线(中文正文)" w:eastAsia="等线(中文正文)"/>
          <w:b w:val="false"/>
          <w:i w:val="false"/>
          <w:sz w:val="20"/>
        </w:rPr>
        <w:t>发言人1 答：毛利率提升主要有两个原因：一是客户结构有所调整；二是公司内部对铝合金压铸业务给予了较大KPI指标，扬州公司过去一年在降低成本方面做了大量思考和布局，最终使得毛利率回到一个相对正常的水平。</w:t>
      </w:r>
    </w:p>
    <w:p>
      <w:r>
        <w:rPr>
          <w:rFonts w:ascii="等线(中文正文)" w:hAnsi="等线(中文正文)" w:cs="等线(中文正文)" w:eastAsia="等线(中文正文)"/>
          <w:b w:val="false"/>
          <w:i w:val="false"/>
          <w:sz w:val="20"/>
        </w:rPr>
        <w:t/>
      </w:r>
    </w:p>
    <w:p>
      <w:pPr>
        <w:pStyle w:val="ab"/>
      </w:pPr>
      <w:r>
        <w:t>发言人1 问：公司对2026年铝合金压铸业务的收入和毛利率有何展望？</w:t>
      </w:r>
    </w:p>
    <w:p>
      <w:r>
        <w:rPr>
          <w:rFonts w:ascii="等线(中文正文)" w:hAnsi="等线(中文正文)" w:cs="等线(中文正文)" w:eastAsia="等线(中文正文)"/>
          <w:b w:val="false"/>
          <w:i w:val="false"/>
          <w:sz w:val="20"/>
        </w:rPr>
        <w:t>发言人1 答：对于2026年，我们预计在2025年的基础上，输入端会有增长。我们希望进一步优化毛利率，对一些超过一年以上的库存产品进行梳理和减持，特别是那些难以周转或销售的产品。从目前四季度的情况来看，我们的处理较为谨慎，并且四季度环比毛利率有所提升。今年下半年，尤其是ESC和EBS等高价值、高毛利率产品的放量将对毛利率产生积极影响。因此，我们有信心认为2026年全年的毛利率可能会有一定的提升。</w:t>
      </w:r>
    </w:p>
    <w:p>
      <w:r>
        <w:rPr>
          <w:rFonts w:ascii="等线(中文正文)" w:hAnsi="等线(中文正文)" w:cs="等线(中文正文)" w:eastAsia="等线(中文正文)"/>
          <w:b w:val="false"/>
          <w:i w:val="false"/>
          <w:sz w:val="20"/>
        </w:rPr>
        <w:t/>
      </w:r>
    </w:p>
    <w:p>
      <w:pPr>
        <w:pStyle w:val="ab"/>
      </w:pPr>
      <w:r>
        <w:t>发言人1 问：下游客户方面是否存在降价压力？以及费用方面，四季度为何比正常季度略高？</w:t>
      </w:r>
    </w:p>
    <w:p>
      <w:r>
        <w:rPr>
          <w:rFonts w:ascii="等线(中文正文)" w:hAnsi="等线(中文正文)" w:cs="等线(中文正文)" w:eastAsia="等线(中文正文)"/>
          <w:b w:val="false"/>
          <w:i w:val="false"/>
          <w:sz w:val="20"/>
        </w:rPr>
        <w:t>发言人1 答：整体来说，下游客户面对的降价压力相对较小，商用车交易价格已回调至市场竞争后的水平。四季度销售、研发和财务费用较高主要是由于奖金在四季度发放，这是四季度费用较高的主要原因。</w:t>
      </w:r>
    </w:p>
    <w:p>
      <w:r>
        <w:rPr>
          <w:rFonts w:ascii="等线(中文正文)" w:hAnsi="等线(中文正文)" w:cs="等线(中文正文)" w:eastAsia="等线(中文正文)"/>
          <w:b w:val="false"/>
          <w:i w:val="false"/>
          <w:sz w:val="20"/>
        </w:rPr>
        <w:t/>
      </w:r>
    </w:p>
    <w:p>
      <w:pPr>
        <w:pStyle w:val="ab"/>
      </w:pPr>
      <w:r>
        <w:t>发言人1 问：对于2026年主要产品的增长目标是否有调整？与年初预期相比，内部预期是否有做调整？</w:t>
      </w:r>
    </w:p>
    <w:p>
      <w:r>
        <w:rPr>
          <w:rFonts w:ascii="等线(中文正文)" w:hAnsi="等线(中文正文)" w:cs="等线(中文正文)" w:eastAsia="等线(中文正文)"/>
          <w:b w:val="false"/>
          <w:i w:val="false"/>
          <w:sz w:val="20"/>
        </w:rPr>
        <w:t>发言人1 答：2026年我们对EBS等高阶产品的增长预期保持不变，仍预计有50%的增长。尽管重卡销售在一季度表现良好，但刚需产品如ABS跟随法规节奏波动，且受基数影响，增速可能会被稀释。整体来看，下半年增速仍有望优于上半年。</w:t>
      </w:r>
    </w:p>
    <w:p>
      <w:r>
        <w:rPr>
          <w:rFonts w:ascii="等线(中文正文)" w:hAnsi="等线(中文正文)" w:cs="等线(中文正文)" w:eastAsia="等线(中文正文)"/>
          <w:b w:val="false"/>
          <w:i w:val="false"/>
          <w:sz w:val="20"/>
        </w:rPr>
        <w:t/>
      </w:r>
    </w:p>
    <w:p>
      <w:pPr>
        <w:pStyle w:val="ab"/>
      </w:pPr>
      <w:r>
        <w:t>发言人1 问：2026年固定资产转固的情况如何？固定资产投入有何规划？</w:t>
      </w:r>
    </w:p>
    <w:p>
      <w:r>
        <w:rPr>
          <w:rFonts w:ascii="等线(中文正文)" w:hAnsi="等线(中文正文)" w:cs="等线(中文正文)" w:eastAsia="等线(中文正文)"/>
          <w:b w:val="false"/>
          <w:i w:val="false"/>
          <w:sz w:val="20"/>
        </w:rPr>
        <w:t>发言人1 答：2026年的固定资产投入预计会保持相对稳定，不会有大规模投放。2025年已投入的新厂房和对应设备能满足现阶段产能需求，因此2026年固定资产转固的情况不会太多。</w:t>
      </w:r>
    </w:p>
    <w:p>
      <w:r>
        <w:rPr>
          <w:rFonts w:ascii="等线(中文正文)" w:hAnsi="等线(中文正文)" w:cs="等线(中文正文)" w:eastAsia="等线(中文正文)"/>
          <w:b w:val="false"/>
          <w:i w:val="false"/>
          <w:sz w:val="20"/>
        </w:rPr>
        <w:t/>
      </w:r>
    </w:p>
    <w:p>
      <w:pPr>
        <w:pStyle w:val="ab"/>
      </w:pPr>
      <w:r>
        <w:t>发言人1 问：公司在海外市场开拓方面的计划是什么？</w:t>
      </w:r>
    </w:p>
    <w:p>
      <w:r>
        <w:rPr>
          <w:rFonts w:ascii="等线(中文正文)" w:hAnsi="等线(中文正文)" w:cs="等线(中文正文)" w:eastAsia="等线(中文正文)"/>
          <w:b w:val="false"/>
          <w:i w:val="false"/>
          <w:sz w:val="20"/>
        </w:rPr>
        <w:t>发言人1 答：我们今年在海外市场开拓上采取更务实的方向，重点集中在“一带一路”国家和地区，这些地方与我们现有业务有交集且开拓难度相对较小。</w:t>
      </w:r>
    </w:p>
    <w:p>
      <w:r>
        <w:rPr>
          <w:rFonts w:ascii="等线(中文正文)" w:hAnsi="等线(中文正文)" w:cs="等线(中文正文)" w:eastAsia="等线(中文正文)"/>
          <w:b w:val="false"/>
          <w:i w:val="false"/>
          <w:sz w:val="20"/>
        </w:rPr>
        <w:t/>
      </w:r>
    </w:p>
    <w:p>
      <w:pPr>
        <w:pStyle w:val="ab"/>
      </w:pPr>
      <w:r>
        <w:t>发言人1 问：公司募投项目锐利科密大湾区汽车智能电控系统研发制造总部延期至2028年6月的原因及如何解决产能瓶颈问题？</w:t>
      </w:r>
    </w:p>
    <w:p>
      <w:r>
        <w:rPr>
          <w:rFonts w:ascii="等线(中文正文)" w:hAnsi="等线(中文正文)" w:cs="等线(中文正文)" w:eastAsia="等线(中文正文)"/>
          <w:b w:val="false"/>
          <w:i w:val="false"/>
          <w:sz w:val="20"/>
        </w:rPr>
        <w:t>发言人1 答：延期原因主要是跟随产能需求变化，目前并无产能瓶颈出现。公司在2025年已有自有资金投入，当前产能满足需求。</w:t>
      </w:r>
    </w:p>
    <w:p>
      <w:r>
        <w:rPr>
          <w:rFonts w:ascii="等线(中文正文)" w:hAnsi="等线(中文正文)" w:cs="等线(中文正文)" w:eastAsia="等线(中文正文)"/>
          <w:b w:val="false"/>
          <w:i w:val="false"/>
          <w:sz w:val="20"/>
        </w:rPr>
        <w:t/>
      </w:r>
    </w:p>
    <w:p>
      <w:pPr>
        <w:pStyle w:val="ab"/>
      </w:pPr>
      <w:r>
        <w:t>发言人1 问：全资控股武汉福克斯子公司后，在业务层面和技术团队方面有何考虑？</w:t>
      </w:r>
    </w:p>
    <w:p>
      <w:r>
        <w:rPr>
          <w:rFonts w:ascii="等线(中文正文)" w:hAnsi="等线(中文正文)" w:cs="等线(中文正文)" w:eastAsia="等线(中文正文)"/>
          <w:b w:val="false"/>
          <w:i w:val="false"/>
          <w:sz w:val="20"/>
        </w:rPr>
        <w:t>发言人1 答：全资控股武汉福克斯子公司是为了与核心团队深度绑定利益，并通过此举强化公司在液压制动领域的布局。至于股权激励计划，公司会结合环境、员工意愿等因素适时安排。</w:t>
      </w:r>
    </w:p>
    <w:p>
      <w:r>
        <w:rPr>
          <w:rFonts w:ascii="等线(中文正文)" w:hAnsi="等线(中文正文)" w:cs="等线(中文正文)" w:eastAsia="等线(中文正文)"/>
          <w:b w:val="false"/>
          <w:i w:val="false"/>
          <w:sz w:val="20"/>
        </w:rPr>
        <w:t/>
      </w:r>
    </w:p>
    <w:p>
      <w:pPr>
        <w:pStyle w:val="ab"/>
      </w:pPr>
      <w:r>
        <w:t>发言人1 问：在液压控制系统产品中是否存在中低端和高端产品的划分？</w:t>
      </w:r>
    </w:p>
    <w:p>
      <w:r>
        <w:rPr>
          <w:rFonts w:ascii="等线(中文正文)" w:hAnsi="等线(中文正文)" w:cs="等线(中文正文)" w:eastAsia="等线(中文正文)"/>
          <w:b w:val="false"/>
          <w:i w:val="false"/>
          <w:sz w:val="20"/>
        </w:rPr>
        <w:t>发言人1 答：液压制动产品中确实存在不同档次划分，例如APS、ESC、EHB等，这些产品分别应用于不同的商用车和乘用车市场。其中，ABS主要针对摩托车市场，EHB目前以小批量出货为主，但未来有望在新能源汽车领域获得更多应用。</w:t>
      </w:r>
    </w:p>
    <w:p>
      <w:r>
        <w:rPr>
          <w:rFonts w:ascii="等线(中文正文)" w:hAnsi="等线(中文正文)" w:cs="等线(中文正文)" w:eastAsia="等线(中文正文)"/>
          <w:b w:val="false"/>
          <w:i w:val="false"/>
          <w:sz w:val="20"/>
        </w:rPr>
        <w:t/>
      </w:r>
    </w:p>
    <w:p>
      <w:pPr>
        <w:pStyle w:val="ab"/>
      </w:pPr>
      <w:r>
        <w:t>发言人1 问：在液压业务方面，公司是如何布局的？</w:t>
      </w:r>
    </w:p>
    <w:p>
      <w:r>
        <w:rPr>
          <w:rFonts w:ascii="等线(中文正文)" w:hAnsi="等线(中文正文)" w:cs="等线(中文正文)" w:eastAsia="等线(中文正文)"/>
          <w:b w:val="false"/>
          <w:i w:val="false"/>
          <w:sz w:val="20"/>
        </w:rPr>
        <w:t>发言人1 答：我们并没有单独开发液压产品，而是将其集成在ESC和ABS中。但对于气压产品，针对商务车有专门的EPB产品。在技术升级上，计划从现有的ESEHB、ESESB、ESC升级到EMB。在两轮车领域，ABS目前在摩托车中有较大应用，并且电动两轮车也有增量空间。</w:t>
      </w:r>
    </w:p>
    <w:p>
      <w:r>
        <w:rPr>
          <w:rFonts w:ascii="等线(中文正文)" w:hAnsi="等线(中文正文)" w:cs="等线(中文正文)" w:eastAsia="等线(中文正文)"/>
          <w:b w:val="false"/>
          <w:i w:val="false"/>
          <w:sz w:val="20"/>
        </w:rPr>
        <w:t/>
      </w:r>
    </w:p>
    <w:p>
      <w:pPr>
        <w:pStyle w:val="ab"/>
      </w:pPr>
      <w:r>
        <w:t>发言人1 问：公司现有产品的市场表现和对未来展望如何？</w:t>
      </w:r>
    </w:p>
    <w:p>
      <w:r>
        <w:rPr>
          <w:rFonts w:ascii="等线(中文正文)" w:hAnsi="等线(中文正文)" w:cs="等线(中文正文)" w:eastAsia="等线(中文正文)"/>
          <w:b w:val="false"/>
          <w:i w:val="false"/>
          <w:sz w:val="20"/>
        </w:rPr>
        <w:t>发言人1 答：目前，ABS领域受益于七月份的政策，尤其是EBS作为高质量产品会有快速提升。去年ESC上量较快，导致业绩稳定增长，而ETS由于法规受益，增长弹性更大。EPB将随着现有客户销量增长而增长，因其性价比高，去年销量实现了倍增。</w:t>
      </w:r>
    </w:p>
    <w:p>
      <w:r>
        <w:rPr>
          <w:rFonts w:ascii="等线(中文正文)" w:hAnsi="等线(中文正文)" w:cs="等线(中文正文)" w:eastAsia="等线(中文正文)"/>
          <w:b w:val="false"/>
          <w:i w:val="false"/>
          <w:sz w:val="20"/>
        </w:rPr>
        <w:t/>
      </w:r>
    </w:p>
    <w:p>
      <w:pPr>
        <w:pStyle w:val="ab"/>
      </w:pPr>
      <w:r>
        <w:t>发言人1 问：国产EPB的市场情况及前景怎样？</w:t>
      </w:r>
    </w:p>
    <w:p>
      <w:r>
        <w:rPr>
          <w:rFonts w:ascii="等线(中文正文)" w:hAnsi="等线(中文正文)" w:cs="等线(中文正文)" w:eastAsia="等线(中文正文)"/>
          <w:b w:val="false"/>
          <w:i w:val="false"/>
          <w:sz w:val="20"/>
        </w:rPr>
        <w:t>发言人1 答：国产EPB的市场渗透率目前较低，大约在10%左右，但因其能提升商用车安全性且性价比不错，主机厂也开始配套。我们在国内EPP市场份额领先，尤其在商用车领域，ETP渗透率已超95%，而EETSC在商务车中的渗透率约为30%。</w:t>
      </w:r>
    </w:p>
    <w:p>
      <w:r>
        <w:rPr>
          <w:rFonts w:ascii="等线(中文正文)" w:hAnsi="等线(中文正文)" w:cs="等线(中文正文)" w:eastAsia="等线(中文正文)"/>
          <w:b w:val="false"/>
          <w:i w:val="false"/>
          <w:sz w:val="20"/>
        </w:rPr>
        <w:t/>
      </w:r>
    </w:p>
    <w:p>
      <w:pPr>
        <w:pStyle w:val="ab"/>
      </w:pPr>
      <w:r>
        <w:t>发言人1 问：EBS和ESC在专用车上的市场地位及替代关系如何？</w:t>
      </w:r>
    </w:p>
    <w:p>
      <w:r>
        <w:rPr>
          <w:rFonts w:ascii="等线(中文正文)" w:hAnsi="等线(中文正文)" w:cs="等线(中文正文)" w:eastAsia="等线(中文正文)"/>
          <w:b w:val="false"/>
          <w:i w:val="false"/>
          <w:sz w:val="20"/>
        </w:rPr>
        <w:t>发言人1 答：EBS和ESC在专用车上是共存且互相替代的关系。政策要求部分车型必须配备ESC，而EBS具有兼容ESC和ABS的功能，但在特定情况下，牵引车挂车可以自行选择EBS或ESC。</w:t>
      </w:r>
    </w:p>
    <w:p>
      <w:r>
        <w:rPr>
          <w:rFonts w:ascii="等线(中文正文)" w:hAnsi="等线(中文正文)" w:cs="等线(中文正文)" w:eastAsia="等线(中文正文)"/>
          <w:b w:val="false"/>
          <w:i w:val="false"/>
          <w:sz w:val="20"/>
        </w:rPr>
        <w:t/>
      </w:r>
    </w:p>
    <w:p>
      <w:pPr>
        <w:pStyle w:val="ab"/>
      </w:pPr>
      <w:r>
        <w:t>发言人1 问：公司电控制动产品的芯片国产化进展如何？</w:t>
      </w:r>
    </w:p>
    <w:p>
      <w:r>
        <w:rPr>
          <w:rFonts w:ascii="等线(中文正文)" w:hAnsi="等线(中文正文)" w:cs="等线(中文正文)" w:eastAsia="等线(中文正文)"/>
          <w:b w:val="false"/>
          <w:i w:val="false"/>
          <w:sz w:val="20"/>
        </w:rPr>
        <w:t>发言人1 答：目前大部分芯片仍依赖国外供应商，但我们有相应的备份方案，不会绑定单一品牌。同时，公司摩托车业务收入在2025年实现了倍增，其中电动摩托车与燃油摩托车的比例尚无详细数据，但预计2026年电动摩托车比例将有所上升。</w:t>
      </w:r>
    </w:p>
    <w:p>
      <w:r>
        <w:rPr>
          <w:rFonts w:ascii="等线(中文正文)" w:hAnsi="等线(中文正文)" w:cs="等线(中文正文)" w:eastAsia="等线(中文正文)"/>
          <w:b w:val="false"/>
          <w:i w:val="false"/>
          <w:sz w:val="20"/>
        </w:rPr>
        <w:t/>
      </w:r>
    </w:p>
    <w:p>
      <w:pPr>
        <w:pStyle w:val="ab"/>
      </w:pPr>
      <w:r>
        <w:t>发言人1 问：对于商用车EPAPD装配率增长的预期是怎样的？</w:t>
      </w:r>
    </w:p>
    <w:p>
      <w:r>
        <w:rPr>
          <w:rFonts w:ascii="等线(中文正文)" w:hAnsi="等线(中文正文)" w:cs="等线(中文正文)" w:eastAsia="等线(中文正文)"/>
          <w:b w:val="false"/>
          <w:i w:val="false"/>
          <w:sz w:val="20"/>
        </w:rPr>
        <w:t>发言人1 答：近年来，商用车EPAPD的装配意愿明显增强，预计今明两年行业千亿PB渗透率将显著提高。具体到客户结构，重卡会是主要应用对象，因为它们对安全性要求更高。同时，新能源与传统车型之间对此类产品的使用区分不大。</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2026-04-21T23:44:15Z</dcterms:created>
  <dc:creator>Apache POI</dc:creator>
</cp:coreProperties>
</file>