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立讯精密 260416_导读</w:t>
      </w:r>
    </w:p>
    <w:p>
      <w:pPr>
        <w:pStyle w:val="a0"/>
        <w:jc w:val="center"/>
      </w:pPr>
      <w:r>
        <w:t>2026年04月22日 07:40</w:t>
      </w:r>
    </w:p>
    <w:p>
      <w:pPr>
        <w:pStyle w:val="a7"/>
      </w:pPr>
      <w:r>
        <w:t>关键词</w:t>
      </w:r>
    </w:p>
    <w:p>
      <w:r>
        <w:rPr>
          <w:rFonts w:ascii="等线(中文正文)" w:hAnsi="等线(中文正文)" w:cs="等线(中文正文)" w:eastAsia="等线(中文正文)"/>
          <w:b w:val="false"/>
          <w:i w:val="false"/>
          <w:sz w:val="20"/>
        </w:rPr>
        <w:t xml:space="preserve">立正经营 董事会 2025年度 经营成果 全球经济环境 产业链重构 技术创新 务实专注 主营业务 新兴领域 稳健增长 核心竞争力 消费电子 汽车电子 全球产能 研发投入 AI创新硬件 智能制造 超节点 电连接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董事长在经营董事会及全体员工的汇报中，总结了公司面对全球经济复杂多变及产业链、技术创新加速的挑战与机遇，强调了务实、专注、创新和共赢的核心价值观，以及通过深耕主营业务和布局新兴领域实现的稳健增长和竞争力提升。公司聚焦于消费品通信、数据中心、汽车电子等核心业务，优化产品结构，强化供应链管理，特别是在越南等地产能布局的全球优势，应对市场波动。在新兴领域，公司深度参与国内外大型数据中心建设，AI硬件发展和智能制造取得进展，增强综合竞争力。面对挑战，公司采取措施，并对汽车电子、半导体等领域的布局充满信心，感谢投资者支持，展望高质量发展。</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立正经营2025年度经营成果与发展战略</w:t>
      </w:r>
    </w:p>
    <w:p>
      <w:r>
        <w:rPr>
          <w:rFonts w:ascii="等线(中文正文)" w:hAnsi="等线(中文正文)" w:cs="等线(中文正文)" w:eastAsia="等线(中文正文)"/>
          <w:b w:val="false"/>
          <w:i w:val="false"/>
          <w:sz w:val="20"/>
        </w:rPr>
        <w:t>立正经营董事会总结了2025年度在全球经济复杂多变背景下的经营成果，强调了务实专注创新与共赢的核心价值观。公司通过深耕主营业务和布局新兴领域，实现了业绩稳健增长和核心竞争力提升。特别是在消费品、通信及数据中心、汽车电子领域，通过优化产品结构、强化供应链管理，有效应对市场波动。公司还通过全球产能布局和完善研发能力，为客户提供全球化与本地化交付，特别是在AI创新硬件领域，展现出强大的综合竞争力。</w:t>
      </w:r>
    </w:p>
    <w:p>
      <w:r>
        <w:rPr>
          <w:rFonts w:ascii="等线(中文正文)" w:hAnsi="等线(中文正文)" w:cs="等线(中文正文)" w:eastAsia="等线(中文正文)"/>
          <w:b w:val="false"/>
          <w:i w:val="false"/>
          <w:sz w:val="20"/>
        </w:rPr>
        <w:t/>
      </w:r>
    </w:p>
    <w:p>
      <w:pPr>
        <w:pStyle w:val="ab"/>
        <w:numPr>
          <w:numId w:val="2"/>
        </w:numPr>
      </w:pPr>
      <w:r>
        <w:t>03:53 公司研发投入与业务拓展成果显著</w:t>
      </w:r>
    </w:p>
    <w:p>
      <w:r>
        <w:rPr>
          <w:rFonts w:ascii="等线(中文正文)" w:hAnsi="等线(中文正文)" w:cs="等线(中文正文)" w:eastAsia="等线(中文正文)"/>
          <w:b w:val="false"/>
          <w:i w:val="false"/>
          <w:sz w:val="20"/>
        </w:rPr>
        <w:t>公司在通信数据中心领域深度参与国内外大型项目，研发投入虽未直接转化为销售，但为未来业务奠定坚实基础。汽车电子领域，尤其是新能源汽车和智能驾驶，为公司带来良好机遇，产品已在多个品牌实现商业接触和导入。此外，通过收购和内部孵化，公司在汽车核心布局上取得进展，后轮转向产品已在两大核心品牌定点开发，标志着公司汽车领域战略布局进入收获期。</w:t>
      </w:r>
    </w:p>
    <w:p>
      <w:r>
        <w:rPr>
          <w:rFonts w:ascii="等线(中文正文)" w:hAnsi="等线(中文正文)" w:cs="等线(中文正文)" w:eastAsia="等线(中文正文)"/>
          <w:b w:val="false"/>
          <w:i w:val="false"/>
          <w:sz w:val="20"/>
        </w:rPr>
        <w:t/>
      </w:r>
    </w:p>
    <w:p>
      <w:pPr>
        <w:pStyle w:val="ab"/>
        <w:numPr>
          <w:numId w:val="3"/>
        </w:numPr>
      </w:pPr>
      <w:r>
        <w:t>06:25 公司营收增长与未来展望</w:t>
      </w:r>
    </w:p>
    <w:p>
      <w:r>
        <w:rPr>
          <w:rFonts w:ascii="等线(中文正文)" w:hAnsi="等线(中文正文)" w:cs="等线(中文正文)" w:eastAsia="等线(中文正文)"/>
          <w:b w:val="false"/>
          <w:i w:val="false"/>
          <w:sz w:val="20"/>
        </w:rPr>
        <w:t>公司过去一年营收达3323亿，同比增长23.6%，展现出金融管理韧性和业务布局弹性。面对全球经济不确定性，公司坚信变革带来机会，持续创新，强化智能制造和AI应用，提升全球交付与服务能力，赢得市场认可。未来，公司将继续抓住变革机遇，实现高质量发展。</w:t>
      </w:r>
    </w:p>
    <w:p>
      <w:r>
        <w:rPr>
          <w:rFonts w:ascii="等线(中文正文)" w:hAnsi="等线(中文正文)" w:cs="等线(中文正文)" w:eastAsia="等线(中文正文)"/>
          <w:b w:val="false"/>
          <w:i w:val="false"/>
          <w:sz w:val="20"/>
        </w:rPr>
        <w:t/>
      </w:r>
    </w:p>
    <w:p>
      <w:pPr>
        <w:pStyle w:val="ab"/>
        <w:numPr>
          <w:numId w:val="4"/>
        </w:numPr>
      </w:pPr>
      <w:r>
        <w:t>09:16 数据中心技术趋势与布局分享</w:t>
      </w:r>
    </w:p>
    <w:p>
      <w:r>
        <w:rPr>
          <w:rFonts w:ascii="等线(中文正文)" w:hAnsi="等线(中文正文)" w:cs="等线(中文正文)" w:eastAsia="等线(中文正文)"/>
          <w:b w:val="false"/>
          <w:i w:val="false"/>
          <w:sz w:val="20"/>
        </w:rPr>
        <w:t>分享了数据中心业务发展中的技术趋势和布局情况，重点讨论了CPC和CPO的共生关系，以及在224G和448G网络中的应用。介绍了立讯在散热管理和电源产品方面的技术优势，包括微通道和金刚石铜技术的量产应用，以及在核心客户项目中的落地情况。通过系统拆解和底层研究，解决技术挑战，推动产品创新和市场拓展，获得了客户支持和商业机会。</w:t>
      </w:r>
    </w:p>
    <w:p>
      <w:r>
        <w:rPr>
          <w:rFonts w:ascii="等线(中文正文)" w:hAnsi="等线(中文正文)" w:cs="等线(中文正文)" w:eastAsia="等线(中文正文)"/>
          <w:b w:val="false"/>
          <w:i w:val="false"/>
          <w:sz w:val="20"/>
        </w:rPr>
        <w:t/>
      </w:r>
    </w:p>
    <w:p>
      <w:pPr>
        <w:pStyle w:val="ab"/>
        <w:numPr>
          <w:numId w:val="5"/>
        </w:numPr>
      </w:pPr>
      <w:r>
        <w:t>14:31 2025年财务报告：营收与利润增长，资本支出加大</w:t>
      </w:r>
    </w:p>
    <w:p>
      <w:r>
        <w:rPr>
          <w:rFonts w:ascii="等线(中文正文)" w:hAnsi="等线(中文正文)" w:cs="等线(中文正文)" w:eastAsia="等线(中文正文)"/>
          <w:b w:val="false"/>
          <w:i w:val="false"/>
          <w:sz w:val="20"/>
        </w:rPr>
        <w:t>报告详细介绍了2025年公司实现的营业收入与净利润的显著增长，以及资本支出的大幅增加，主要投向AI端侧和数据中心领域。同时，解释了费用增长、现金流变化、负债率提升的原因，并强调了投资收益的增加和非经常性损益的构成，最后提醒投资者注意汇率波动和理财收益的不确定性对非经常性损益的影响。</w:t>
      </w:r>
    </w:p>
    <w:p>
      <w:r>
        <w:rPr>
          <w:rFonts w:ascii="等线(中文正文)" w:hAnsi="等线(中文正文)" w:cs="等线(中文正文)" w:eastAsia="等线(中文正文)"/>
          <w:b w:val="false"/>
          <w:i w:val="false"/>
          <w:sz w:val="20"/>
        </w:rPr>
        <w:t/>
      </w:r>
    </w:p>
    <w:p>
      <w:pPr>
        <w:pStyle w:val="ab"/>
        <w:numPr>
          <w:numId w:val="6"/>
        </w:numPr>
      </w:pPr>
      <w:r>
        <w:t>19:47 大客户策略与非大客户机会分析</w:t>
      </w:r>
    </w:p>
    <w:p>
      <w:r>
        <w:rPr>
          <w:rFonts w:ascii="等线(中文正文)" w:hAnsi="等线(中文正文)" w:cs="等线(中文正文)" w:eastAsia="等线(中文正文)"/>
          <w:b w:val="false"/>
          <w:i w:val="false"/>
          <w:sz w:val="20"/>
        </w:rPr>
        <w:t>对话中讨论了大客户策略在市场波动中的稳定性及其对供应链的正面影响，同时提及非大客户在新产品迭代上的保守态度及市场影响的差异性。展望未来，公司对2032年的目标持乐观态度，预计实际成果将超出原定目标两到三倍，强调了在非大客户领域的发展潜力与成长速度。</w:t>
      </w:r>
    </w:p>
    <w:p>
      <w:r>
        <w:rPr>
          <w:rFonts w:ascii="等线(中文正文)" w:hAnsi="等线(中文正文)" w:cs="等线(中文正文)" w:eastAsia="等线(中文正文)"/>
          <w:b w:val="false"/>
          <w:i w:val="false"/>
          <w:sz w:val="20"/>
        </w:rPr>
        <w:t/>
      </w:r>
    </w:p>
    <w:p>
      <w:pPr>
        <w:pStyle w:val="ab"/>
        <w:numPr>
          <w:numId w:val="7"/>
        </w:numPr>
      </w:pPr>
      <w:r>
        <w:t>23:31 AI创业与光技术优势解析</w:t>
      </w:r>
    </w:p>
    <w:p>
      <w:r>
        <w:rPr>
          <w:rFonts w:ascii="等线(中文正文)" w:hAnsi="等线(中文正文)" w:cs="等线(中文正文)" w:eastAsia="等线(中文正文)"/>
          <w:b w:val="false"/>
          <w:i w:val="false"/>
          <w:sz w:val="20"/>
        </w:rPr>
        <w:t>对话深入探讨了AI创业领域的优势，特别是CDC行业渗透节奏及光技术在光伏快车领域的核心竞争力。强调团队对行业门槛与痛点的详尽分析，以及对未来表现的自信。指出需客户、核心厂商与人才的支持，以应对更高速率智能制造与客户交互弹性需求，展示实力以影响客户。</w:t>
      </w:r>
    </w:p>
    <w:p>
      <w:r>
        <w:rPr>
          <w:rFonts w:ascii="等线(中文正文)" w:hAnsi="等线(中文正文)" w:cs="等线(中文正文)" w:eastAsia="等线(中文正文)"/>
          <w:b w:val="false"/>
          <w:i w:val="false"/>
          <w:sz w:val="20"/>
        </w:rPr>
        <w:t/>
      </w:r>
    </w:p>
    <w:p>
      <w:pPr>
        <w:pStyle w:val="ab"/>
        <w:numPr>
          <w:numId w:val="8"/>
        </w:numPr>
      </w:pPr>
      <w:r>
        <w:t>26:11 CPC节奏与新业务增长展望</w:t>
      </w:r>
    </w:p>
    <w:p>
      <w:r>
        <w:rPr>
          <w:rFonts w:ascii="等线(中文正文)" w:hAnsi="等线(中文正文)" w:cs="等线(中文正文)" w:eastAsia="等线(中文正文)"/>
          <w:b w:val="false"/>
          <w:i w:val="false"/>
          <w:sz w:val="20"/>
        </w:rPr>
        <w:t>讨论了不同CSP的CPC节奏差异，强调了当前新业务在算力、光与电领域的投入加大，虽然面临汇率波动和材料成本上涨的挑战，但预计未来将带来更积极的增长预期，尤其在AI和算力变革带来的商业机会上。</w:t>
      </w:r>
    </w:p>
    <w:p>
      <w:r>
        <w:rPr>
          <w:rFonts w:ascii="等线(中文正文)" w:hAnsi="等线(中文正文)" w:cs="等线(中文正文)" w:eastAsia="等线(中文正文)"/>
          <w:b w:val="false"/>
          <w:i w:val="false"/>
          <w:sz w:val="20"/>
        </w:rPr>
        <w:t/>
      </w:r>
    </w:p>
    <w:p>
      <w:pPr>
        <w:pStyle w:val="ab"/>
        <w:numPr>
          <w:numId w:val="9"/>
        </w:numPr>
      </w:pPr>
      <w:r>
        <w:t>29:59 电子行业新业务进展与未来展望</w:t>
      </w:r>
    </w:p>
    <w:p>
      <w:r>
        <w:rPr>
          <w:rFonts w:ascii="等线(中文正文)" w:hAnsi="等线(中文正文)" w:cs="等线(中文正文)" w:eastAsia="等线(中文正文)"/>
          <w:b w:val="false"/>
          <w:i w:val="false"/>
          <w:sz w:val="20"/>
        </w:rPr>
        <w:t>对话围绕电子行业的新业务进展展开，包括AI消费电子、汽车电子及通灵街领域的研究项目。预计今年底至明年初，新业务将带来显著增量贡献。尽管面临大宗原材料压力，但整体业务和技术拓展超预期。管理层对2025年业绩表示乐观，并预测未来三年汽车电子盈利提升，利润率目标提升至5个点。中东局势虽带来额外成本，但通过补偿措施，经营状况仍超预期。</w:t>
      </w:r>
    </w:p>
    <w:p>
      <w:r>
        <w:rPr>
          <w:rFonts w:ascii="等线(中文正文)" w:hAnsi="等线(中文正文)" w:cs="等线(中文正文)" w:eastAsia="等线(中文正文)"/>
          <w:b w:val="false"/>
          <w:i w:val="false"/>
          <w:sz w:val="20"/>
        </w:rPr>
        <w:t/>
      </w:r>
    </w:p>
    <w:p>
      <w:pPr>
        <w:pStyle w:val="ab"/>
        <w:numPr>
          <w:numId w:val="10"/>
        </w:numPr>
      </w:pPr>
      <w:r>
        <w:t>34:10 消费电子新工艺与资本开支布局</w:t>
      </w:r>
    </w:p>
    <w:p>
      <w:r>
        <w:rPr>
          <w:rFonts w:ascii="等线(中文正文)" w:hAnsi="等线(中文正文)" w:cs="等线(中文正文)" w:eastAsia="等线(中文正文)"/>
          <w:b w:val="false"/>
          <w:i w:val="false"/>
          <w:sz w:val="20"/>
        </w:rPr>
        <w:t>对话探讨了3D打印等新工艺在消费电子领域的应用及投资回报考量，强调技术可行性后关注经济效益。同时，讨论了未来资本开支的规划，特别是海外投资和厂房建设的增加，预计到2026年达到高峰，随后将趋于平稳，针对不同客户需求进行产能调整。</w:t>
      </w:r>
    </w:p>
    <w:p>
      <w:r>
        <w:rPr>
          <w:rFonts w:ascii="等线(中文正文)" w:hAnsi="等线(中文正文)" w:cs="等线(中文正文)" w:eastAsia="等线(中文正文)"/>
          <w:b w:val="false"/>
          <w:i w:val="false"/>
          <w:sz w:val="20"/>
        </w:rPr>
        <w:t/>
      </w:r>
    </w:p>
    <w:p>
      <w:pPr>
        <w:pStyle w:val="ab"/>
        <w:numPr>
          <w:numId w:val="11"/>
        </w:numPr>
      </w:pPr>
      <w:r>
        <w:t>36:36 3D打印技术应用与企业跨文化管理挑战</w:t>
      </w:r>
    </w:p>
    <w:p>
      <w:r>
        <w:rPr>
          <w:rFonts w:ascii="等线(中文正文)" w:hAnsi="等线(中文正文)" w:cs="等线(中文正文)" w:eastAsia="等线(中文正文)"/>
          <w:b w:val="false"/>
          <w:i w:val="false"/>
          <w:sz w:val="20"/>
        </w:rPr>
        <w:t>讨论了3D打印技术在公司生产中的优势、应用边界及其未来发展方向，强调了该技术在复杂零件补充与通用核心加工能力之间的定位。同时，探讨了企业在跨文化、跨行业管理中的软实力本地化适配策略，提出通过标准化作业流程、数字化管理数据及AI平台应用实现高效管理，避免完全系统一致性的追求，以应对组织快速扩张带来的管理摩擦成本。</w:t>
      </w:r>
    </w:p>
    <w:p>
      <w:r>
        <w:rPr>
          <w:rFonts w:ascii="等线(中文正文)" w:hAnsi="等线(中文正文)" w:cs="等线(中文正文)" w:eastAsia="等线(中文正文)"/>
          <w:b w:val="false"/>
          <w:i w:val="false"/>
          <w:sz w:val="20"/>
        </w:rPr>
        <w:t/>
      </w:r>
    </w:p>
    <w:p>
      <w:pPr>
        <w:pStyle w:val="ab"/>
        <w:numPr>
          <w:numId w:val="12"/>
        </w:numPr>
      </w:pPr>
      <w:r>
        <w:t>39:03 可穿戴设备升级与AI创新功能展望</w:t>
      </w:r>
    </w:p>
    <w:p>
      <w:r>
        <w:rPr>
          <w:rFonts w:ascii="等线(中文正文)" w:hAnsi="等线(中文正文)" w:cs="等线(中文正文)" w:eastAsia="等线(中文正文)"/>
          <w:b w:val="false"/>
          <w:i w:val="false"/>
          <w:sz w:val="20"/>
        </w:rPr>
        <w:t>对话围绕可穿戴设备的升级展开，提及血糖、血压等创新功能的进展。发言者认为客户在AI浪潮下持续优化资源，未停止脚步，相信客户能结合AI实现功能升级，展现了对客户能力的认可与期待。</w:t>
      </w:r>
    </w:p>
    <w:p>
      <w:r>
        <w:rPr>
          <w:rFonts w:ascii="等线(中文正文)" w:hAnsi="等线(中文正文)" w:cs="等线(中文正文)" w:eastAsia="等线(中文正文)"/>
          <w:b w:val="false"/>
          <w:i w:val="false"/>
          <w:sz w:val="20"/>
        </w:rPr>
        <w:t/>
      </w:r>
    </w:p>
    <w:p>
      <w:pPr>
        <w:pStyle w:val="ab"/>
        <w:numPr>
          <w:numId w:val="13"/>
        </w:numPr>
      </w:pPr>
      <w:r>
        <w:t>40:08 AI算力与存储价格影响分析</w:t>
      </w:r>
    </w:p>
    <w:p>
      <w:r>
        <w:rPr>
          <w:rFonts w:ascii="等线(中文正文)" w:hAnsi="等线(中文正文)" w:cs="等线(中文正文)" w:eastAsia="等线(中文正文)"/>
          <w:b w:val="false"/>
          <w:i w:val="false"/>
          <w:sz w:val="20"/>
        </w:rPr>
        <w:t>讨论了北美大客户在AI算力方面的资本开支，特别是SC芯片投入，以及这可能带来的硬件配套机会。提及存储价格上涨对业务的影响，但认为由于市场策略及高端市场定位，实际影响有限。最后，强调了公司运营状况良好，并感谢投资者的支持与理解。</w:t>
      </w:r>
    </w:p>
    <w:p>
      <w:r>
        <w:rPr>
          <w:rFonts w:ascii="等线(中文正文)" w:hAnsi="等线(中文正文)" w:cs="等线(中文正文)" w:eastAsia="等线(中文正文)"/>
          <w:b w:val="false"/>
          <w:i w:val="false"/>
          <w:sz w:val="20"/>
        </w:rPr>
        <w:t/>
      </w:r>
    </w:p>
    <w:p>
      <w:pPr>
        <w:pStyle w:val="a7"/>
      </w:pPr>
      <w:r>
        <w:t>发言总结</w:t>
      </w:r>
    </w:p>
    <w:p>
      <w:pPr>
        <w:pStyle w:val="ab"/>
        <w:numPr>
          <w:numId w:val="14"/>
        </w:numPr>
      </w:pPr>
      <w:r>
        <w:t>发言人1</w:t>
      </w:r>
    </w:p>
    <w:p>
      <w:r>
        <w:rPr>
          <w:rFonts w:ascii="等线(中文正文)" w:hAnsi="等线(中文正文)" w:cs="等线(中文正文)" w:eastAsia="等线(中文正文)"/>
          <w:b w:val="false"/>
          <w:i w:val="false"/>
          <w:sz w:val="20"/>
        </w:rPr>
        <w:t>代表立正经营董事会及全体员工，向投资人汇报了公司2025年度的经营成果及未来发展思路。尽管全球经济环境复杂多变，产业链重构加速，技术创新快速，立正公司依旧秉持务实、专注、创新和共赢的核心价值观，执行既定战略，深耕主营业务，布局新兴领域，实现了稳健的经营业绩增长及核心竞争力的持续提升。特别强调了公司在消费品、通信及数据中心、汽车电子等核心业务领域的聚焦与深耕，通过优化产品结构、强化供应链管理、布局全球产能，有效应对市场波动。同时，公司积极应对原材料价格波动，展现出强大的业务布局弹性和管理韧性。发言最后表达了对公司充满挑战的未来充满信心，将持续创新，抓住变革机会，实现更高质量的发展。</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问：2025年度，立正经营董事会和全体员工取得了哪些主要经营成果及发展思考？对于未来全球经济的不确定性，立正如何应对并抓住机遇？</w:t>
      </w:r>
    </w:p>
    <w:p>
      <w:r>
        <w:rPr>
          <w:rFonts w:ascii="等线(中文正文)" w:hAnsi="等线(中文正文)" w:cs="等线(中文正文)" w:eastAsia="等线(中文正文)"/>
          <w:b w:val="false"/>
          <w:i w:val="false"/>
          <w:sz w:val="20"/>
        </w:rPr>
        <w:t>发言人1 答：在过去的一年里，面对全球经济环境的复杂多变和产业链重构加速推进的挑战，立正通过全体同仁的努力，坚定执行战略，持续深耕主营业务，并积极布局新兴领域，实现了经营业绩的稳健增长和核心竞争力的不断提升。尽管全球经济不确定性存在，制度迭代速度加快，产业竞争格局持续演变，但立正坚信变化和挑战越大，就越能展现出更好的机会。公司从消费电子到汽车电子，再到通信数据中心等领域的深厚制造功底和与时俱进的管理能力，将为企业带来更广阔的发展空间和精密制造优势。</w:t>
      </w:r>
    </w:p>
    <w:p>
      <w:r>
        <w:rPr>
          <w:rFonts w:ascii="等线(中文正文)" w:hAnsi="等线(中文正文)" w:cs="等线(中文正文)" w:eastAsia="等线(中文正文)"/>
          <w:b w:val="false"/>
          <w:i w:val="false"/>
          <w:sz w:val="20"/>
        </w:rPr>
        <w:t/>
      </w:r>
    </w:p>
    <w:p>
      <w:pPr>
        <w:pStyle w:val="ab"/>
      </w:pPr>
      <w:r>
        <w:t>发言人1 问：立正在布局新兴领域方面的具体做法是什么？汽车电子领域的发展情况及对公司的影响是什么？</w:t>
      </w:r>
    </w:p>
    <w:p>
      <w:r>
        <w:rPr>
          <w:rFonts w:ascii="等线(中文正文)" w:hAnsi="等线(中文正文)" w:cs="等线(中文正文)" w:eastAsia="等线(中文正文)"/>
          <w:b w:val="false"/>
          <w:i w:val="false"/>
          <w:sz w:val="20"/>
        </w:rPr>
        <w:t>发言人1 答：立正目前在消费品通信、数据中心、汽车电子等核心业务领域积极布局，通过优化产品结构来提升运营效率、强化供应链管理，有效应对市场波动。同时，公司在消费电子领域深化与核心客户的合作，提高组件模组及系统级产品的设计制造能力。随着新能源汽车和智能驾驶的蓬勃发展，汽车电子领域为立正带来了良好机会。公司在生产的产品方面，已有与多个知名品牌如大众品牌在商业和技术层面的全面接触和产品导入，同时也在加速推进智能底盘核心产品的量产应用，完善汽车核心布局。</w:t>
      </w:r>
    </w:p>
    <w:p>
      <w:r>
        <w:rPr>
          <w:rFonts w:ascii="等线(中文正文)" w:hAnsi="等线(中文正文)" w:cs="等线(中文正文)" w:eastAsia="等线(中文正文)"/>
          <w:b w:val="false"/>
          <w:i w:val="false"/>
          <w:sz w:val="20"/>
        </w:rPr>
        <w:t/>
      </w:r>
    </w:p>
    <w:p>
      <w:pPr>
        <w:pStyle w:val="ab"/>
      </w:pPr>
      <w:r>
        <w:t>发言人1 问：立正如何在产能和研发能力上实现提升？</w:t>
      </w:r>
    </w:p>
    <w:p>
      <w:r>
        <w:rPr>
          <w:rFonts w:ascii="等线(中文正文)" w:hAnsi="等线(中文正文)" w:cs="等线(中文正文)" w:eastAsia="等线(中文正文)"/>
          <w:b w:val="false"/>
          <w:i w:val="false"/>
          <w:sz w:val="20"/>
        </w:rPr>
        <w:t>发言人1 答：立正通过整合收购OPN标的，快速开拓新产业，增强了研发团队和技术体系，实现了从原始工艺制程开发到生命周期品控的无缝衔接。特别是在AI创新硬件发展的时代，ODA能力帮助公司更快速地构建起具有弹性的综合竞争力。</w:t>
      </w:r>
    </w:p>
    <w:p>
      <w:r>
        <w:rPr>
          <w:rFonts w:ascii="等线(中文正文)" w:hAnsi="等线(中文正文)" w:cs="等线(中文正文)" w:eastAsia="等线(中文正文)"/>
          <w:b w:val="false"/>
          <w:i w:val="false"/>
          <w:sz w:val="20"/>
        </w:rPr>
        <w:t/>
      </w:r>
    </w:p>
    <w:p>
      <w:pPr>
        <w:pStyle w:val="ab"/>
      </w:pPr>
      <w:r>
        <w:t>发言人1 问：在通信及数据中心领域，立正的研发投入和业务布局情况如何？</w:t>
      </w:r>
    </w:p>
    <w:p>
      <w:r>
        <w:rPr>
          <w:rFonts w:ascii="等线(中文正文)" w:hAnsi="等线(中文正文)" w:cs="等线(中文正文)" w:eastAsia="等线(中文正文)"/>
          <w:b w:val="false"/>
          <w:i w:val="false"/>
          <w:sz w:val="20"/>
        </w:rPr>
        <w:t>发言人1 答：公司在该领域加大了研发投资与产能布局，前端研发投入过半，主要用于未来业务的拓展，特别是在国内外大型数据中心及未来通讯产业基础建设方面。各产品线团队凭借优秀技术和市场认可度，正为新项目的落地加班加点，以满足客户需求并期待未来业务收入贡献显著提升。</w:t>
      </w:r>
    </w:p>
    <w:p>
      <w:r>
        <w:rPr>
          <w:rFonts w:ascii="等线(中文正文)" w:hAnsi="等线(中文正文)" w:cs="等线(中文正文)" w:eastAsia="等线(中文正文)"/>
          <w:b w:val="false"/>
          <w:i w:val="false"/>
          <w:sz w:val="20"/>
        </w:rPr>
        <w:t/>
      </w:r>
    </w:p>
    <w:p>
      <w:pPr>
        <w:pStyle w:val="ab"/>
      </w:pPr>
      <w:r>
        <w:t>发言人1 问：公司在外延方面的收购情况及对公司本土和海外业务的影响？</w:t>
      </w:r>
    </w:p>
    <w:p>
      <w:r>
        <w:rPr>
          <w:rFonts w:ascii="等线(中文正文)" w:hAnsi="等线(中文正文)" w:cs="等线(中文正文)" w:eastAsia="等线(中文正文)"/>
          <w:b w:val="false"/>
          <w:i w:val="false"/>
          <w:sz w:val="20"/>
        </w:rPr>
        <w:t>发言人1 答：报告期完成了对某公司的收购，改善了经营管理和业务拓展，增强了公司在本土及海外市场的信心和商业机会，标志着公司在汽车领域战略布局进入了较好的收获期。</w:t>
      </w:r>
    </w:p>
    <w:p>
      <w:r>
        <w:rPr>
          <w:rFonts w:ascii="等线(中文正文)" w:hAnsi="等线(中文正文)" w:cs="等线(中文正文)" w:eastAsia="等线(中文正文)"/>
          <w:b w:val="false"/>
          <w:i w:val="false"/>
          <w:sz w:val="20"/>
        </w:rPr>
        <w:t/>
      </w:r>
    </w:p>
    <w:p>
      <w:pPr>
        <w:pStyle w:val="ab"/>
      </w:pPr>
      <w:r>
        <w:t>发言人1 问：公司最近的营收表现以及对公司韧性和业务布局弹性的证明？</w:t>
      </w:r>
    </w:p>
    <w:p>
      <w:r>
        <w:rPr>
          <w:rFonts w:ascii="等线(中文正文)" w:hAnsi="等线(中文正文)" w:cs="等线(中文正文)" w:eastAsia="等线(中文正文)"/>
          <w:b w:val="false"/>
          <w:i w:val="false"/>
          <w:sz w:val="20"/>
        </w:rPr>
        <w:t>发言人1 答：公司最近实现的营收为3323亿，同比增长23.6%，这充分证明了公司面对市场挑战时的坚韧性和业务布局的弹性。即使在大宗原材料供应紧张等困难条件下，公司的定性依然保持良好，有足够的韧性消化不利因素。</w:t>
      </w:r>
    </w:p>
    <w:p>
      <w:r>
        <w:rPr>
          <w:rFonts w:ascii="等线(中文正文)" w:hAnsi="等线(中文正文)" w:cs="等线(中文正文)" w:eastAsia="等线(中文正文)"/>
          <w:b w:val="false"/>
          <w:i w:val="false"/>
          <w:sz w:val="20"/>
        </w:rPr>
        <w:t/>
      </w:r>
    </w:p>
    <w:p>
      <w:pPr>
        <w:pStyle w:val="ab"/>
      </w:pPr>
      <w:r>
        <w:t>发言人1 问：在创业过程中，投资者的反馈对企业发展有何影响？</w:t>
      </w:r>
    </w:p>
    <w:p>
      <w:r>
        <w:rPr>
          <w:rFonts w:ascii="等线(中文正文)" w:hAnsi="等线(中文正文)" w:cs="等线(中文正文)" w:eastAsia="等线(中文正文)"/>
          <w:b w:val="false"/>
          <w:i w:val="false"/>
          <w:sz w:val="20"/>
        </w:rPr>
        <w:t>发言人1 答：投资者的批评、怀疑和建议为我们的战略方向提供了宝贵的参考，帮助我们在面对挑战的同时，坚守初心，持续创新，并抓住每一次变革机会。我们对创业周期的能力充满信心，并致力于实现更高质量的企业发展。</w:t>
      </w:r>
    </w:p>
    <w:p>
      <w:r>
        <w:rPr>
          <w:rFonts w:ascii="等线(中文正文)" w:hAnsi="等线(中文正文)" w:cs="等线(中文正文)" w:eastAsia="等线(中文正文)"/>
          <w:b w:val="false"/>
          <w:i w:val="false"/>
          <w:sz w:val="20"/>
        </w:rPr>
        <w:t/>
      </w:r>
    </w:p>
    <w:p>
      <w:pPr>
        <w:pStyle w:val="ab"/>
      </w:pPr>
      <w:r>
        <w:t>发言人1 问：公司近期在数据中心业务领域取得了哪些进展？</w:t>
      </w:r>
    </w:p>
    <w:p>
      <w:r>
        <w:rPr>
          <w:rFonts w:ascii="等线(中文正文)" w:hAnsi="等线(中文正文)" w:cs="等线(中文正文)" w:eastAsia="等线(中文正文)"/>
          <w:b w:val="false"/>
          <w:i w:val="false"/>
          <w:sz w:val="20"/>
        </w:rPr>
        <w:t>发言人1 答：过去一两年，我们在关注的市场领域取得了良好的商业环境，并获得了团队的技术能力和全球化交互能力的认可。团队正与大家交流具体问题，并确保合规合法地进行沟通。</w:t>
      </w:r>
    </w:p>
    <w:p>
      <w:r>
        <w:rPr>
          <w:rFonts w:ascii="等线(中文正文)" w:hAnsi="等线(中文正文)" w:cs="等线(中文正文)" w:eastAsia="等线(中文正文)"/>
          <w:b w:val="false"/>
          <w:i w:val="false"/>
          <w:sz w:val="20"/>
        </w:rPr>
        <w:t/>
      </w:r>
    </w:p>
    <w:p>
      <w:pPr>
        <w:pStyle w:val="ab"/>
      </w:pPr>
      <w:r>
        <w:t>发言人1 问：数据中心业务负责人熊总将分享哪些内容？</w:t>
      </w:r>
    </w:p>
    <w:p>
      <w:r>
        <w:rPr>
          <w:rFonts w:ascii="等线(中文正文)" w:hAnsi="等线(中文正文)" w:cs="等线(中文正文)" w:eastAsia="等线(中文正文)"/>
          <w:b w:val="false"/>
          <w:i w:val="false"/>
          <w:sz w:val="20"/>
        </w:rPr>
        <w:t>发言人1 答：熊总将基于董事长所述的整体框架和技术路线，详细介绍公司在数据中心技术趋势和布局情况。</w:t>
      </w:r>
    </w:p>
    <w:p>
      <w:r>
        <w:rPr>
          <w:rFonts w:ascii="等线(中文正文)" w:hAnsi="等线(中文正文)" w:cs="等线(中文正文)" w:eastAsia="等线(中文正文)"/>
          <w:b w:val="false"/>
          <w:i w:val="false"/>
          <w:sz w:val="20"/>
        </w:rPr>
        <w:t/>
      </w:r>
    </w:p>
    <w:p>
      <w:pPr>
        <w:pStyle w:val="ab"/>
      </w:pPr>
      <w:r>
        <w:t>发言人1 问：公司在数据中心超节点技术的研究上有哪些进展和方向？</w:t>
      </w:r>
    </w:p>
    <w:p>
      <w:r>
        <w:rPr>
          <w:rFonts w:ascii="等线(中文正文)" w:hAnsi="等线(中文正文)" w:cs="等线(中文正文)" w:eastAsia="等线(中文正文)"/>
          <w:b w:val="false"/>
          <w:i w:val="false"/>
          <w:sz w:val="20"/>
        </w:rPr>
        <w:t>发言人1 答：公司从系统客户架构出发研究未来超节点，结合电连接、光连接及电源管理、散热管理的核心部件和模组能力极限，匹配到最佳算力芯片需求，已对224G、448G等技术趋势进行了深入研究和布局。</w:t>
      </w:r>
    </w:p>
    <w:p>
      <w:r>
        <w:rPr>
          <w:rFonts w:ascii="等线(中文正文)" w:hAnsi="等线(中文正文)" w:cs="等线(中文正文)" w:eastAsia="等线(中文正文)"/>
          <w:b w:val="false"/>
          <w:i w:val="false"/>
          <w:sz w:val="20"/>
        </w:rPr>
        <w:t/>
      </w:r>
    </w:p>
    <w:p>
      <w:pPr>
        <w:pStyle w:val="ab"/>
      </w:pPr>
      <w:r>
        <w:t>发言人1 问：CPC和CPU在数据中心中的角色及优势是什么？</w:t>
      </w:r>
    </w:p>
    <w:p>
      <w:r>
        <w:rPr>
          <w:rFonts w:ascii="等线(中文正文)" w:hAnsi="等线(中文正文)" w:cs="等线(中文正文)" w:eastAsia="等线(中文正文)"/>
          <w:b w:val="false"/>
          <w:i w:val="false"/>
          <w:sz w:val="20"/>
        </w:rPr>
        <w:t>发言人1 答：在数据中心网络中，CPC和CPU各有所长，CPC在规模网络中为主流方案，而CPU在特定场景下有其优势。公司提供CPC加XPO全套解决方案以及NPO布局，同时也关注并推进热管理和电源管理产品的技术研发和应用落地。</w:t>
      </w:r>
    </w:p>
    <w:p>
      <w:r>
        <w:rPr>
          <w:rFonts w:ascii="等线(中文正文)" w:hAnsi="等线(中文正文)" w:cs="等线(中文正文)" w:eastAsia="等线(中文正文)"/>
          <w:b w:val="false"/>
          <w:i w:val="false"/>
          <w:sz w:val="20"/>
        </w:rPr>
        <w:t/>
      </w:r>
    </w:p>
    <w:p>
      <w:pPr>
        <w:pStyle w:val="ab"/>
      </w:pPr>
      <w:r>
        <w:t>发言人1 问：公司在财务方面有哪些表现和规划？</w:t>
      </w:r>
    </w:p>
    <w:p>
      <w:r>
        <w:rPr>
          <w:rFonts w:ascii="等线(中文正文)" w:hAnsi="等线(中文正文)" w:cs="等线(中文正文)" w:eastAsia="等线(中文正文)"/>
          <w:b w:val="false"/>
          <w:i w:val="false"/>
          <w:sz w:val="20"/>
        </w:rPr>
        <w:t>发言人1 答：2025年公司营业收入和净利润均有显著增长，费用增长主要源于内部业务增长及新业务布局投入。此外，公司还完成了对某些业务的收购，导致合并范围增加带来增量费用。</w:t>
      </w:r>
    </w:p>
    <w:p>
      <w:r>
        <w:rPr>
          <w:rFonts w:ascii="等线(中文正文)" w:hAnsi="等线(中文正文)" w:cs="等线(中文正文)" w:eastAsia="等线(中文正文)"/>
          <w:b w:val="false"/>
          <w:i w:val="false"/>
          <w:sz w:val="20"/>
        </w:rPr>
        <w:t/>
      </w:r>
    </w:p>
    <w:p>
      <w:pPr>
        <w:pStyle w:val="ab"/>
      </w:pPr>
      <w:r>
        <w:t>发言人1 问：公司经营现金流入减少的主要原因是什么？</w:t>
      </w:r>
    </w:p>
    <w:p>
      <w:r>
        <w:rPr>
          <w:rFonts w:ascii="等线(中文正文)" w:hAnsi="等线(中文正文)" w:cs="等线(中文正文)" w:eastAsia="等线(中文正文)"/>
          <w:b w:val="false"/>
          <w:i w:val="false"/>
          <w:sz w:val="20"/>
        </w:rPr>
        <w:t>发言人1 答：公司经营现金流入减少主要是由于业务增长导致库存增加，以及收购业务中客户回款节奏的变化和过往货款支付带来的变数。</w:t>
      </w:r>
    </w:p>
    <w:p>
      <w:r>
        <w:rPr>
          <w:rFonts w:ascii="等线(中文正文)" w:hAnsi="等线(中文正文)" w:cs="等线(中文正文)" w:eastAsia="等线(中文正文)"/>
          <w:b w:val="false"/>
          <w:i w:val="false"/>
          <w:sz w:val="20"/>
        </w:rPr>
        <w:t/>
      </w:r>
    </w:p>
    <w:p>
      <w:pPr>
        <w:pStyle w:val="ab"/>
      </w:pPr>
      <w:r>
        <w:t>发言人1 问：资本支出增加的主要用途是什么？公司对于AI业务的投入和未来展望是怎样的？</w:t>
      </w:r>
    </w:p>
    <w:p>
      <w:r>
        <w:rPr>
          <w:rFonts w:ascii="等线(中文正文)" w:hAnsi="等线(中文正文)" w:cs="等线(中文正文)" w:eastAsia="等线(中文正文)"/>
          <w:b w:val="false"/>
          <w:i w:val="false"/>
          <w:sz w:val="20"/>
        </w:rPr>
        <w:t>发言人1 答：资本支出主要用于投资AI端侧和AI数据中心领域，包括设备技术升级、产品迭代以及全球多地多基地的基础设施和产能建设，以支持未来业务持续放量增长并抵御风险。公司自去年以来，在AI领域进行了大量投入，并在年报中详细披露了各业务的进展和未来趋势展望。</w:t>
      </w:r>
    </w:p>
    <w:p>
      <w:r>
        <w:rPr>
          <w:rFonts w:ascii="等线(中文正文)" w:hAnsi="等线(中文正文)" w:cs="等线(中文正文)" w:eastAsia="等线(中文正文)"/>
          <w:b w:val="false"/>
          <w:i w:val="false"/>
          <w:sz w:val="20"/>
        </w:rPr>
        <w:t/>
      </w:r>
    </w:p>
    <w:p>
      <w:pPr>
        <w:pStyle w:val="ab"/>
      </w:pPr>
      <w:r>
        <w:t>发言人1 问：公司2025年资产负债率上升的原因是什么？</w:t>
      </w:r>
    </w:p>
    <w:p>
      <w:r>
        <w:rPr>
          <w:rFonts w:ascii="等线(中文正文)" w:hAnsi="等线(中文正文)" w:cs="等线(中文正文)" w:eastAsia="等线(中文正文)"/>
          <w:b w:val="false"/>
          <w:i w:val="false"/>
          <w:sz w:val="20"/>
        </w:rPr>
        <w:t>发言人1 答：资产负债率上升主要是由于业务规模自然增长带来的经营性负债增长，叠加业务扩张速度加快导致有息负债增加。</w:t>
      </w:r>
    </w:p>
    <w:p>
      <w:r>
        <w:rPr>
          <w:rFonts w:ascii="等线(中文正文)" w:hAnsi="等线(中文正文)" w:cs="等线(中文正文)" w:eastAsia="等线(中文正文)"/>
          <w:b w:val="false"/>
          <w:i w:val="false"/>
          <w:sz w:val="20"/>
        </w:rPr>
        <w:t/>
      </w:r>
    </w:p>
    <w:p>
      <w:pPr>
        <w:pStyle w:val="ab"/>
      </w:pPr>
      <w:r>
        <w:t>发言人1 问：财务费用中利息费用及汇兑损失变化的原因是什么？2025年投资收益和营业外收入增长的原因是什么？</w:t>
      </w:r>
    </w:p>
    <w:p>
      <w:r>
        <w:rPr>
          <w:rFonts w:ascii="等线(中文正文)" w:hAnsi="等线(中文正文)" w:cs="等线(中文正文)" w:eastAsia="等线(中文正文)"/>
          <w:b w:val="false"/>
          <w:i w:val="false"/>
          <w:sz w:val="20"/>
        </w:rPr>
        <w:t>发言人1 答：利息费用增加是因为有息负债的增加；汇兑损失扩大则是受汇率波动影响，整体还贷能力保持稳定。投资收益增长源于民营企业收益增加和理财及汇率避险收益贡献；营业外收入大幅增长主要是因为负伤率产生的4.8亿收入和其他各项收益。</w:t>
      </w:r>
    </w:p>
    <w:p>
      <w:r>
        <w:rPr>
          <w:rFonts w:ascii="等线(中文正文)" w:hAnsi="等线(中文正文)" w:cs="等线(中文正文)" w:eastAsia="等线(中文正文)"/>
          <w:b w:val="false"/>
          <w:i w:val="false"/>
          <w:sz w:val="20"/>
        </w:rPr>
        <w:t/>
      </w:r>
    </w:p>
    <w:p>
      <w:pPr>
        <w:pStyle w:val="ab"/>
      </w:pPr>
      <w:r>
        <w:t>发言人1 问：非经常性损益具体包含哪些项目及其影响？</w:t>
      </w:r>
    </w:p>
    <w:p>
      <w:r>
        <w:rPr>
          <w:rFonts w:ascii="等线(中文正文)" w:hAnsi="等线(中文正文)" w:cs="等线(中文正文)" w:eastAsia="等线(中文正文)"/>
          <w:b w:val="false"/>
          <w:i w:val="false"/>
          <w:sz w:val="20"/>
        </w:rPr>
        <w:t>发言人1 答：非经常性损益包括：业外收入中的负伤率、减少金融资产终止确认带来的融资成本减少、理财工具取得的收益、远期避险操作收益等，并提醒投资者谨慎预测后续季度的非经常性损益。</w:t>
      </w:r>
    </w:p>
    <w:p>
      <w:r>
        <w:rPr>
          <w:rFonts w:ascii="等线(中文正文)" w:hAnsi="等线(中文正文)" w:cs="等线(中文正文)" w:eastAsia="等线(中文正文)"/>
          <w:b w:val="false"/>
          <w:i w:val="false"/>
          <w:sz w:val="20"/>
        </w:rPr>
        <w:t/>
      </w:r>
    </w:p>
    <w:p>
      <w:pPr>
        <w:pStyle w:val="ab"/>
      </w:pPr>
      <w:r>
        <w:t>发言人1 问：对于2026年第一季度及全年非经常性损益的预计情况如何？</w:t>
      </w:r>
    </w:p>
    <w:p>
      <w:r>
        <w:rPr>
          <w:rFonts w:ascii="等线(中文正文)" w:hAnsi="等线(中文正文)" w:cs="等线(中文正文)" w:eastAsia="等线(中文正文)"/>
          <w:b w:val="false"/>
          <w:i w:val="false"/>
          <w:sz w:val="20"/>
        </w:rPr>
        <w:t>发言人1 答：预计2026年第一季度非经常性损益接近9亿元，主要来自财政补贴、理财及远期避险收益，但因汇率波动及理财收益的不确定性，建议投资者谨慎预测后续各季度的非经常性损益。</w:t>
      </w:r>
    </w:p>
    <w:p>
      <w:r>
        <w:rPr>
          <w:rFonts w:ascii="等线(中文正文)" w:hAnsi="等线(中文正文)" w:cs="等线(中文正文)" w:eastAsia="等线(中文正文)"/>
          <w:b w:val="false"/>
          <w:i w:val="false"/>
          <w:sz w:val="20"/>
        </w:rPr>
        <w:t/>
      </w:r>
    </w:p>
    <w:p>
      <w:pPr>
        <w:pStyle w:val="ab"/>
      </w:pPr>
      <w:r>
        <w:t>发言人1 问：对A客户全年以及消费电子客户（尤其是非手机客户）的布局情况有何看法？</w:t>
      </w:r>
    </w:p>
    <w:p>
      <w:r>
        <w:rPr>
          <w:rFonts w:ascii="等线(中文正文)" w:hAnsi="等线(中文正文)" w:cs="等线(中文正文)" w:eastAsia="等线(中文正文)"/>
          <w:b w:val="false"/>
          <w:i w:val="false"/>
          <w:sz w:val="20"/>
        </w:rPr>
        <w:t>发言人1 答：全年来看，大品牌的影响相对较小且稳定，对供应链和市场的影响有限。对于非大客户的迭代产品，推出速度相对较慢，而新产品推出未受影响。海外小品牌销量受到内存影响较小，整体影响因品牌策略不同而不大。非大客户的成长和发展情况良好，部分产品线在海外市场卡位健康且有竞争优势。</w:t>
      </w:r>
    </w:p>
    <w:p>
      <w:r>
        <w:rPr>
          <w:rFonts w:ascii="等线(中文正文)" w:hAnsi="等线(中文正文)" w:cs="等线(中文正文)" w:eastAsia="等线(中文正文)"/>
          <w:b w:val="false"/>
          <w:i w:val="false"/>
          <w:sz w:val="20"/>
        </w:rPr>
        <w:t/>
      </w:r>
    </w:p>
    <w:p>
      <w:pPr>
        <w:pStyle w:val="ab"/>
      </w:pPr>
      <w:r>
        <w:t>发言人1 问：未来CDC在行业渗透的节奏以及在光伏快车领域的核心技术优势是什么？</w:t>
      </w:r>
    </w:p>
    <w:p>
      <w:r>
        <w:rPr>
          <w:rFonts w:ascii="等线(中文正文)" w:hAnsi="等线(中文正文)" w:cs="等线(中文正文)" w:eastAsia="等线(中文正文)"/>
          <w:b w:val="false"/>
          <w:i w:val="false"/>
          <w:sz w:val="20"/>
        </w:rPr>
        <w:t>发言人1 答：目前，立信团队正在详细分析行业现状，包括门槛、痛点及所需资源，并对未来有清晰规划。尽管不便透露具体细节，但坚信在AI创立的投资板块中，立信团队将后来居上，且在非消费电子领域取得过优秀表现。</w:t>
      </w:r>
    </w:p>
    <w:p>
      <w:r>
        <w:rPr>
          <w:rFonts w:ascii="等线(中文正文)" w:hAnsi="等线(中文正文)" w:cs="等线(中文正文)" w:eastAsia="等线(中文正文)"/>
          <w:b w:val="false"/>
          <w:i w:val="false"/>
          <w:sz w:val="20"/>
        </w:rPr>
        <w:t/>
      </w:r>
    </w:p>
    <w:p>
      <w:pPr>
        <w:pStyle w:val="ab"/>
      </w:pPr>
      <w:r>
        <w:t>发言人1 问：CPC业务的发展节奏如何？以及新业务（非消费电子部分）在2026年一季度的贡献情况？</w:t>
      </w:r>
    </w:p>
    <w:p>
      <w:r>
        <w:rPr>
          <w:rFonts w:ascii="等线(中文正文)" w:hAnsi="等线(中文正文)" w:cs="等线(中文正文)" w:eastAsia="等线(中文正文)"/>
          <w:b w:val="false"/>
          <w:i w:val="false"/>
          <w:sz w:val="20"/>
        </w:rPr>
        <w:t>发言人1 答：每家CSP都有不同的发展节奏，不过可以从整体上描述。对于新业务的发展，去年底至今，方向未变，但在电源与散热部分的节奏有所放缓，重点聚焦于光和电两个领域全力以赴。目前电的开发速度和广度，以及光的发展速度均超过预期，但由于投入较大，可能导致今年第四季度或明年表现更好。新业务在汇率和大宗材料波动方面受到影响，成长比例未达预期，主要是因为投入比预想的大且快，且材料成本上升明显。此外，新机会的投入加大以及汇率、大宗材料的影响，使得新业务的发展存在一些挑战，但团队正积极应对并努力实现更多期望值。</w:t>
      </w:r>
    </w:p>
    <w:p>
      <w:r>
        <w:rPr>
          <w:rFonts w:ascii="等线(中文正文)" w:hAnsi="等线(中文正文)" w:cs="等线(中文正文)" w:eastAsia="等线(中文正文)"/>
          <w:b w:val="false"/>
          <w:i w:val="false"/>
          <w:sz w:val="20"/>
        </w:rPr>
        <w:t/>
      </w:r>
    </w:p>
    <w:p>
      <w:pPr>
        <w:pStyle w:val="ab"/>
      </w:pPr>
      <w:r>
        <w:t>发言人1 问：对于下半年HAIF板块的贡献情况有何预期？</w:t>
      </w:r>
    </w:p>
    <w:p>
      <w:r>
        <w:rPr>
          <w:rFonts w:ascii="等线(中文正文)" w:hAnsi="等线(中文正文)" w:cs="等线(中文正文)" w:eastAsia="等线(中文正文)"/>
          <w:b w:val="false"/>
          <w:i w:val="false"/>
          <w:sz w:val="20"/>
        </w:rPr>
        <w:t>发言人1 答：当前，无论是大品牌还是小品牌，相关团队都非常忙碌，工作状况良好。客户的需求不断，团队的技术拓展也超出了预期。然而，由于大宗原材料和汇率的影响，仍面临一些压力，这主要体现在一季度的预期上。总体而言，尽管面临挑战，但团队的努力和业务进展都保持着积极向上的态势。</w:t>
      </w:r>
    </w:p>
    <w:p>
      <w:r>
        <w:rPr>
          <w:rFonts w:ascii="等线(中文正文)" w:hAnsi="等线(中文正文)" w:cs="等线(中文正文)" w:eastAsia="等线(中文正文)"/>
          <w:b w:val="false"/>
          <w:i w:val="false"/>
          <w:sz w:val="20"/>
        </w:rPr>
        <w:t/>
      </w:r>
    </w:p>
    <w:p>
      <w:pPr>
        <w:pStyle w:val="ab"/>
      </w:pPr>
      <w:r>
        <w:t>发言人1 问：在同源街领域，今年三四季度是否会有非常显著的增量贡献？</w:t>
      </w:r>
    </w:p>
    <w:p>
      <w:r>
        <w:rPr>
          <w:rFonts w:ascii="等线(中文正文)" w:hAnsi="等线(中文正文)" w:cs="等线(中文正文)" w:eastAsia="等线(中文正文)"/>
          <w:b w:val="false"/>
          <w:i w:val="false"/>
          <w:sz w:val="20"/>
        </w:rPr>
        <w:t>发言人1 答：现在很难给出量化数据，因为客户的时间调整等因素存在不确定性。但从趋势来看，第四季度的确定性和成长性更好，相对较为确定；第三季度的情况还需进一步观察几个月才能明确。</w:t>
      </w:r>
    </w:p>
    <w:p>
      <w:r>
        <w:rPr>
          <w:rFonts w:ascii="等线(中文正文)" w:hAnsi="等线(中文正文)" w:cs="等线(中文正文)" w:eastAsia="等线(中文正文)"/>
          <w:b w:val="false"/>
          <w:i w:val="false"/>
          <w:sz w:val="20"/>
        </w:rPr>
        <w:t/>
      </w:r>
    </w:p>
    <w:p>
      <w:pPr>
        <w:pStyle w:val="ab"/>
      </w:pPr>
      <w:r>
        <w:t>发言人1 问：立讯与杨丽在汽车电子方面的全面协同是否超预期，以及未来三年盈利提升是否有更新指引？</w:t>
      </w:r>
    </w:p>
    <w:p>
      <w:r>
        <w:rPr>
          <w:rFonts w:ascii="等线(中文正文)" w:hAnsi="等线(中文正文)" w:cs="等线(中文正文)" w:eastAsia="等线(中文正文)"/>
          <w:b w:val="false"/>
          <w:i w:val="false"/>
          <w:sz w:val="20"/>
        </w:rPr>
        <w:t>发言人1 答：目前团队目标是到2027年利用率能达到3.5个点，期待在2029年超过5个点。尽管今年1月和2月表现很好，3月因中东战争等因素影响有所波动，但整体上是超预期的。关于资本开支，今年及以后几年预计会比较平稳。</w:t>
      </w:r>
    </w:p>
    <w:p>
      <w:r>
        <w:rPr>
          <w:rFonts w:ascii="等线(中文正文)" w:hAnsi="等线(中文正文)" w:cs="等线(中文正文)" w:eastAsia="等线(中文正文)"/>
          <w:b w:val="false"/>
          <w:i w:val="false"/>
          <w:sz w:val="20"/>
        </w:rPr>
        <w:t/>
      </w:r>
    </w:p>
    <w:p>
      <w:pPr>
        <w:pStyle w:val="ab"/>
      </w:pPr>
      <w:r>
        <w:t>发言人1 问：对于新工艺如3D打印的研发项目进展及其后续发展节奏和布局进展如何看待？</w:t>
      </w:r>
    </w:p>
    <w:p>
      <w:r>
        <w:rPr>
          <w:rFonts w:ascii="等线(中文正文)" w:hAnsi="等线(中文正文)" w:cs="等线(中文正文)" w:eastAsia="等线(中文正文)"/>
          <w:b w:val="false"/>
          <w:i w:val="false"/>
          <w:sz w:val="20"/>
        </w:rPr>
        <w:t>发言人1 答：在考虑新工艺投资时，关键在于投资回报。对于3D打印，公司已大批量应用在特殊结构上，并已证明技术可行，接下来将根据投资回报决定是否投入更多资源。目前3D打印的技术优势已得到验证，应用边界还在探索中，未来可能是作为复杂零件的补充，也有可能逐渐演变为公司的通用核心加工能力。</w:t>
      </w:r>
    </w:p>
    <w:p>
      <w:r>
        <w:rPr>
          <w:rFonts w:ascii="等线(中文正文)" w:hAnsi="等线(中文正文)" w:cs="等线(中文正文)" w:eastAsia="等线(中文正文)"/>
          <w:b w:val="false"/>
          <w:i w:val="false"/>
          <w:sz w:val="20"/>
        </w:rPr>
        <w:t/>
      </w:r>
    </w:p>
    <w:p>
      <w:pPr>
        <w:pStyle w:val="ab"/>
      </w:pPr>
      <w:r>
        <w:t>发言人1 问：资本开支方面，特别是在消费电子、汽车和通信领域的结构比例如何，以及海外投资有何特点？</w:t>
      </w:r>
    </w:p>
    <w:p>
      <w:r>
        <w:rPr>
          <w:rFonts w:ascii="等线(中文正文)" w:hAnsi="等线(中文正文)" w:cs="等线(中文正文)" w:eastAsia="等线(中文正文)"/>
          <w:b w:val="false"/>
          <w:i w:val="false"/>
          <w:sz w:val="20"/>
        </w:rPr>
        <w:t>发言人1 答：目前阶段，海外投资，尤其是越南地区的法人投资，需要独立偿还，因此需要提前规划和投入更多的资本开支，特别是在土地厂房和二次配装方面。随着高峰期过去，对于2026年后的投资将更加从容，公司可以根据客户需求灵活调整产能。</w:t>
      </w:r>
    </w:p>
    <w:p>
      <w:r>
        <w:rPr>
          <w:rFonts w:ascii="等线(中文正文)" w:hAnsi="等线(中文正文)" w:cs="等线(中文正文)" w:eastAsia="等线(中文正文)"/>
          <w:b w:val="false"/>
          <w:i w:val="false"/>
          <w:sz w:val="20"/>
        </w:rPr>
        <w:t/>
      </w:r>
    </w:p>
    <w:p>
      <w:pPr>
        <w:pStyle w:val="ab"/>
      </w:pPr>
      <w:r>
        <w:t>发言人1 问：公司在剥离IT系统辅助后，如何实现核心管理软实力的本地化适配及管理逻辑进化，以应对组织快速扩张带来的管理摩擦成本？</w:t>
      </w:r>
    </w:p>
    <w:p>
      <w:r>
        <w:rPr>
          <w:rFonts w:ascii="等线(中文正文)" w:hAnsi="等线(中文正文)" w:cs="等线(中文正文)" w:eastAsia="等线(中文正文)"/>
          <w:b w:val="false"/>
          <w:i w:val="false"/>
          <w:sz w:val="20"/>
        </w:rPr>
        <w:t>发言人1 答：这涉及到对企业管理体系进行全面审视和优化，确保在跨国家和跨行业的背景下，能够有效适应并整合不同地区的管理文化与要求，从而降低组织快速扩张带来的管理成本。具体措施未在对话中详细说明。</w:t>
      </w:r>
    </w:p>
    <w:p>
      <w:r>
        <w:rPr>
          <w:rFonts w:ascii="等线(中文正文)" w:hAnsi="等线(中文正文)" w:cs="等线(中文正文)" w:eastAsia="等线(中文正文)"/>
          <w:b w:val="false"/>
          <w:i w:val="false"/>
          <w:sz w:val="20"/>
        </w:rPr>
        <w:t/>
      </w:r>
    </w:p>
    <w:p>
      <w:pPr>
        <w:pStyle w:val="ab"/>
      </w:pPr>
      <w:r>
        <w:t>发言人1 问：客户在可穿戴设备的创新功能落地方面，比如血糖、血压功能的进展如何？</w:t>
      </w:r>
    </w:p>
    <w:p>
      <w:r>
        <w:rPr>
          <w:rFonts w:ascii="等线(中文正文)" w:hAnsi="等线(中文正文)" w:cs="等线(中文正文)" w:eastAsia="等线(中文正文)"/>
          <w:b w:val="false"/>
          <w:i w:val="false"/>
          <w:sz w:val="20"/>
        </w:rPr>
        <w:t>发言人1 答：我无法代表客户具体回答这个问题，但我相信他们结合AI浪潮，在优化现有资源上并未停止脚步。</w:t>
      </w:r>
    </w:p>
    <w:p>
      <w:r>
        <w:rPr>
          <w:rFonts w:ascii="等线(中文正文)" w:hAnsi="等线(中文正文)" w:cs="等线(中文正文)" w:eastAsia="等线(中文正文)"/>
          <w:b w:val="false"/>
          <w:i w:val="false"/>
          <w:sz w:val="20"/>
        </w:rPr>
        <w:t/>
      </w:r>
    </w:p>
    <w:p>
      <w:pPr>
        <w:pStyle w:val="ab"/>
      </w:pPr>
      <w:r>
        <w:t>发言人1 问：如果北美大客户（假设为Apple）在AI算力方面有资本开支投入，我们是否会有配套硬件的机会？</w:t>
      </w:r>
    </w:p>
    <w:p>
      <w:r>
        <w:rPr>
          <w:rFonts w:ascii="等线(中文正文)" w:hAnsi="等线(中文正文)" w:cs="等线(中文正文)" w:eastAsia="等线(中文正文)"/>
          <w:b w:val="false"/>
          <w:i w:val="false"/>
          <w:sz w:val="20"/>
        </w:rPr>
        <w:t>发言人1 答：对于Apple这部分，我们在电连接结构件方面有所配合，但他们的贡献在我司角度看可以忽略不计。目前我们主要还是以满足客户需求为主，尚未达到可以对外交流的量级。</w:t>
      </w:r>
    </w:p>
    <w:p>
      <w:r>
        <w:rPr>
          <w:rFonts w:ascii="等线(中文正文)" w:hAnsi="等线(中文正文)" w:cs="等线(中文正文)" w:eastAsia="等线(中文正文)"/>
          <w:b w:val="false"/>
          <w:i w:val="false"/>
          <w:sz w:val="20"/>
        </w:rPr>
        <w:t/>
      </w:r>
    </w:p>
    <w:p>
      <w:pPr>
        <w:pStyle w:val="ab"/>
      </w:pPr>
      <w:r>
        <w:t>发言人1 问：存储价格持续上涨会对我们的影响程度如何？</w:t>
      </w:r>
    </w:p>
    <w:p>
      <w:r>
        <w:rPr>
          <w:rFonts w:ascii="等线(中文正文)" w:hAnsi="等线(中文正文)" w:cs="等线(中文正文)" w:eastAsia="等线(中文正文)"/>
          <w:b w:val="false"/>
          <w:i w:val="false"/>
          <w:sz w:val="20"/>
        </w:rPr>
        <w:t>发言人1 答：目前来看，存储价格的上涨对我们的影响有限，因为大品牌更关注存量用户的处理，多数大规模企业策略偏向于保证销量，我们的市场主要集中在高端市场。</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2026-04-21T23:44:15Z</dcterms:created>
  <dc:creator>Apache POI</dc:creator>
</cp:coreProperties>
</file>