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【摩根士丹利】研报解读：泡泡玛特风险回报更新260421_导读</w:t>
      </w:r>
    </w:p>
    <w:p>
      <w:pPr>
        <w:pStyle w:val="a0"/>
        <w:jc w:val="center"/>
      </w:pPr>
      <w:r>
        <w:t>2026年04月21日 23:15</w:t>
      </w:r>
    </w:p>
    <w:p>
      <w:pPr>
        <w:pStyle w:val="a7"/>
      </w:pPr>
      <w:r>
        <w:t>关键词</w:t>
      </w:r>
    </w:p>
    <w:p>
      <w:r>
        <w:rPr>
          <w:rFonts w:ascii="等线(中文正文)" w:hAnsi="等线(中文正文)" w:cs="等线(中文正文)" w:eastAsia="等线(中文正文)"/>
          <w:b w:val="false"/>
          <w:i w:val="false"/>
          <w:sz w:val="20"/>
        </w:rPr>
        <w:t xml:space="preserve">泡泡玛特 目标价 摩根士丹利 分析师 财务预测 盈利增速 估值 IP 中国市场 海外市场 风险 投资机会 pop land 定价能力 收入占比 一致预期 新业务 成长性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泡泡玛特国际集团当前面临投资机会与风险的双重考验。尽管公司被分析师从首选名单中移除，评级与目标价保持不变，展示了其在市场中的稳定地位。最新股票代码信息、行业归属、股价、目标价及52周股价范围均被详细讨论，凸显了公司财务数据的透明度。盈利预测与每股收益预期成为分析焦点，摩根斯坦利研究报告的独立性、信息披露及目标价设定方法也被深入探讨，体现了专业机构的评估深度。泡泡玛特在全球IP产品市场中的定位、增长动力、财务预测及投资主题成为讨论核心，揭示了其全球收入分布与摩根士坦利的alpha模型评价。上涨与下跌风险因素的探讨，强调了投资者在决策时需全面考虑多方面因素。机构持仓比例和摩根士坦利的财务预测相对于市场一致预期的上升，为泡泡玛特的投资前景增添了积极信号。</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泡泡玛特投资价值与市场风险分析</w:t>
      </w:r>
    </w:p>
    <w:p>
      <w:r>
        <w:rPr>
          <w:rFonts w:ascii="等线(中文正文)" w:hAnsi="等线(中文正文)" w:cs="等线(中文正文)" w:eastAsia="等线(中文正文)"/>
          <w:b w:val="false"/>
          <w:i w:val="false"/>
          <w:sz w:val="20"/>
        </w:rPr>
        <w:t>泡泡玛特虽被分析师移出首选名单，但其超配评级与目标价278港币未变，最新股价160.9港币，52周股价范围140.1至339.8港币。据摩根斯坦利模型预测，2025年至2028年每股收益预计分别为9.58元、11.10元、13.3元、15.38元，反映公司长期增长潜力。</w:t>
      </w:r>
    </w:p>
    <w:p>
      <w:r>
        <w:rPr>
          <w:rFonts w:ascii="等线(中文正文)" w:hAnsi="等线(中文正文)" w:cs="等线(中文正文)" w:eastAsia="等线(中文正文)"/>
          <w:b w:val="false"/>
          <w:i w:val="false"/>
          <w:sz w:val="20"/>
        </w:rPr>
        <w:t/>
      </w:r>
    </w:p>
    <w:p>
      <w:pPr>
        <w:pStyle w:val="ab"/>
        <w:numPr>
          <w:numId w:val="2"/>
        </w:numPr>
      </w:pPr>
      <w:r>
        <w:t>01:44 摩根斯坦利研究报告独立性与泡泡玛特目标价分析</w:t>
      </w:r>
    </w:p>
    <w:p>
      <w:r>
        <w:rPr>
          <w:rFonts w:ascii="等线(中文正文)" w:hAnsi="等线(中文正文)" w:cs="等线(中文正文)" w:eastAsia="等线(中文正文)"/>
          <w:b w:val="false"/>
          <w:i w:val="false"/>
          <w:sz w:val="20"/>
        </w:rPr>
        <w:t>讨论了摩根斯坦利研究报告的独立性和信息披露的重要性，指出报告可能存在利益冲突，投资者不应仅依赖此报告做决策。随后，详细分析了摩根斯坦利为泡泡玛特设定的目标价及其背后的估值参数，包括乐观和悲观情况下的目标价及核心假设。最后，对比了市场一致预期目标价和风险回报图表，强调了评估股价回报与风险关系的必要性。</w:t>
      </w:r>
    </w:p>
    <w:p>
      <w:r>
        <w:rPr>
          <w:rFonts w:ascii="等线(中文正文)" w:hAnsi="等线(中文正文)" w:cs="等线(中文正文)" w:eastAsia="等线(中文正文)"/>
          <w:b w:val="false"/>
          <w:i w:val="false"/>
          <w:sz w:val="20"/>
        </w:rPr>
        <w:t/>
      </w:r>
    </w:p>
    <w:p>
      <w:pPr>
        <w:pStyle w:val="ab"/>
        <w:numPr>
          <w:numId w:val="3"/>
        </w:numPr>
      </w:pPr>
      <w:r>
        <w:t>05:41 泡泡玛特：全球IP赛道定位与增长动力分析</w:t>
      </w:r>
    </w:p>
    <w:p>
      <w:r>
        <w:rPr>
          <w:rFonts w:ascii="等线(中文正文)" w:hAnsi="等线(中文正文)" w:cs="等线(中文正文)" w:eastAsia="等线(中文正文)"/>
          <w:b w:val="false"/>
          <w:i w:val="false"/>
          <w:sz w:val="20"/>
        </w:rPr>
        <w:t>讨论了泡泡玛特在全球IP产品赛道的定位，认为其有机会融合并超越Srio、BanNamic、Legal和Disney等全球型IP企业，成为首个真正意义上的全球化消费品牌，尤其在成人玩具领域。提及泡泡玛特通过拉布布IP和DTC模式推动销售与全球扩张，以及pop land和pop pop新项目可能带来的长期价值。指出摩根斯坦利对泡泡玛特定价能力和行业增长的正面评价，强调其在成长性赛道上的独特优势。</w:t>
      </w:r>
    </w:p>
    <w:p>
      <w:r>
        <w:rPr>
          <w:rFonts w:ascii="等线(中文正文)" w:hAnsi="等线(中文正文)" w:cs="等线(中文正文)" w:eastAsia="等线(中文正文)"/>
          <w:b w:val="false"/>
          <w:i w:val="false"/>
          <w:sz w:val="20"/>
        </w:rPr>
        <w:t/>
      </w:r>
    </w:p>
    <w:p>
      <w:pPr>
        <w:pStyle w:val="ab"/>
        <w:numPr>
          <w:numId w:val="4"/>
        </w:numPr>
      </w:pPr>
      <w:r>
        <w:t>07:21 泡泡玛特财务预测与全球布局分析</w:t>
      </w:r>
    </w:p>
    <w:p>
      <w:r>
        <w:rPr>
          <w:rFonts w:ascii="等线(中文正文)" w:hAnsi="等线(中文正文)" w:cs="等线(中文正文)" w:eastAsia="等线(中文正文)"/>
          <w:b w:val="false"/>
          <w:i w:val="false"/>
          <w:sz w:val="20"/>
        </w:rPr>
        <w:t>对话深入探讨了泡泡玛特未来几年在中国和海外市场的零售门店扩张计划，预计到2028年中国市场门店将增至498家，海外市场则增长至526家。销售增长方面，中国市场年复合增长率预计为13.6%，海外市场则高达19.5%。除门店扩张，新产品类别、系列和IP的推出，以及Pop Land、Pop Block等新业务的发展，被视为关键增长动力。目前，中国大陆市场收入占比50%-60%，亚太地区20%-30%，北美10%-20%，欧洲、英国和日本各占10%以内。摩根士丹利Alpha模型给予泡泡玛特三个月时间范围内五分满分评价，表明近期表现被看好。上涨风险包括海外业务快速拓展、标志性旗舰店开设及新产品和IP的成功推出，而下行风险则涉及经济环境不佳、新产品市场反响差、海外扩张受阻及国际贸易摩擦。机构投资者持有泡泡玛特54.3%股份，摩根士丹利对其2026年财务预测略高于市场一致预期。</w:t>
      </w:r>
    </w:p>
    <w:p>
      <w:r>
        <w:rPr>
          <w:rFonts w:ascii="等线(中文正文)" w:hAnsi="等线(中文正文)" w:cs="等线(中文正文)" w:eastAsia="等线(中文正文)"/>
          <w:b w:val="false"/>
          <w:i w:val="false"/>
          <w:sz w:val="20"/>
        </w:rPr>
        <w:t/>
      </w:r>
    </w:p>
    <w:p>
      <w:pPr>
        <w:pStyle w:val="a7"/>
      </w:pPr>
      <w:r>
        <w:t>发言总结</w:t>
      </w:r>
    </w:p>
    <w:p>
      <w:pPr>
        <w:pStyle w:val="ab"/>
        <w:numPr>
          <w:numId w:val="5"/>
        </w:numPr>
      </w:pPr>
      <w:r>
        <w:t>发言人1</w:t>
      </w:r>
    </w:p>
    <w:p>
      <w:r>
        <w:rPr>
          <w:rFonts w:ascii="等线(中文正文)" w:hAnsi="等线(中文正文)" w:cs="等线(中文正文)" w:eastAsia="等线(中文正文)"/>
          <w:b w:val="false"/>
          <w:i w:val="false"/>
          <w:sz w:val="20"/>
        </w:rPr>
        <w:t>他讨论了泡泡玛特国际集团在当前市场环境下的投资机会与主要风险，虽然公司被移出分析师的首选名单，但其评级、目标价及盈利预测保持不变。发言人详细介绍了泡泡玛特的最新基本信息、财务数据，如股票代码、行业归属、最新股价及目标价等，并基于摩根斯坦利的模型计算了其未来几年的每股收益增长预期。讨论中还强调了摩根斯坦利研究报告的独立性与信息披露，以及目标价设定背后的估值假设。他深入分析了泡泡玛特的投资主题、关键驱动力、全球布局、新动作及长期价值，同时探讨了公司在国内外的发展策略及预期。最后，发言人分析了泡泡玛特的财务预测、市场一致预期以及机构持仓情况，指出了上涨和下行风险，为投资者提供了全面的市场洞察。</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问：泡泡玛特国际集团当前的投资机会和主要风险是什么？</w:t>
      </w:r>
    </w:p>
    <w:p>
      <w:r>
        <w:rPr>
          <w:rFonts w:ascii="等线(中文正文)" w:hAnsi="等线(中文正文)" w:cs="等线(中文正文)" w:eastAsia="等线(中文正文)"/>
          <w:b w:val="false"/>
          <w:i w:val="false"/>
          <w:sz w:val="20"/>
        </w:rPr>
        <w:t>发言人1 答：泡泡玛特国际集团最近被移除了分析师的首选名单，但评级、目标价和盈利预测均未调整。其股票代码为9992，在港交所上市，属于中国香港消费行业，最新评级为overweight（超配），目标价为278港币。最新股价为160.9港币，52周股价范围在140.1港币至339.8港币。</w:t>
      </w:r>
    </w:p>
    <w:p>
      <w:r>
        <w:rPr>
          <w:rFonts w:ascii="等线(中文正文)" w:hAnsi="等线(中文正文)" w:cs="等线(中文正文)" w:eastAsia="等线(中文正文)"/>
          <w:b w:val="false"/>
          <w:i w:val="false"/>
          <w:sz w:val="20"/>
        </w:rPr>
        <w:t/>
      </w:r>
    </w:p>
    <w:p>
      <w:pPr>
        <w:pStyle w:val="ab"/>
      </w:pPr>
      <w:r>
        <w:t>发言人1 问：泡泡玛特未来几年的每股收益预计是多少？</w:t>
      </w:r>
    </w:p>
    <w:p>
      <w:r>
        <w:rPr>
          <w:rFonts w:ascii="等线(中文正文)" w:hAnsi="等线(中文正文)" w:cs="等线(中文正文)" w:eastAsia="等线(中文正文)"/>
          <w:b w:val="false"/>
          <w:i w:val="false"/>
          <w:sz w:val="20"/>
        </w:rPr>
        <w:t>发言人1 答：根据摩根斯坦利的model威尔框架预测，泡泡玛特到2025年底每股收益预计能达到人民币9.58元，2026年为11.10元，2027年为13.3元，2028年为15.38元。</w:t>
      </w:r>
    </w:p>
    <w:p>
      <w:r>
        <w:rPr>
          <w:rFonts w:ascii="等线(中文正文)" w:hAnsi="等线(中文正文)" w:cs="等线(中文正文)" w:eastAsia="等线(中文正文)"/>
          <w:b w:val="false"/>
          <w:i w:val="false"/>
          <w:sz w:val="20"/>
        </w:rPr>
        <w:t/>
      </w:r>
    </w:p>
    <w:p>
      <w:pPr>
        <w:pStyle w:val="ab"/>
      </w:pPr>
      <w:r>
        <w:t>发言人1 问：摩根斯坦利研究报告是否存在独立性和信息披露问题？</w:t>
      </w:r>
    </w:p>
    <w:p>
      <w:r>
        <w:rPr>
          <w:rFonts w:ascii="等线(中文正文)" w:hAnsi="等线(中文正文)" w:cs="等线(中文正文)" w:eastAsia="等线(中文正文)"/>
          <w:b w:val="false"/>
          <w:i w:val="false"/>
          <w:sz w:val="20"/>
        </w:rPr>
        <w:t>发言人1 答：摩根斯坦利在发布研究报告时可能会存在利益冲突，因为它主动寻求与覆盖公司进行业务合作，这可能影响报告的客观性。投资者在使用该报告做投资决策时，不能仅依赖于此，需结合其他因素，并关注报告中的分析师认证和重要披露事项。</w:t>
      </w:r>
    </w:p>
    <w:p>
      <w:r>
        <w:rPr>
          <w:rFonts w:ascii="等线(中文正文)" w:hAnsi="等线(中文正文)" w:cs="等线(中文正文)" w:eastAsia="等线(中文正文)"/>
          <w:b w:val="false"/>
          <w:i w:val="false"/>
          <w:sz w:val="20"/>
        </w:rPr>
        <w:t/>
      </w:r>
    </w:p>
    <w:p>
      <w:pPr>
        <w:pStyle w:val="ab"/>
      </w:pPr>
      <w:r>
        <w:t>发言人1 问：泡泡玛特目标价是如何设定的，背后的估值假设是什么？</w:t>
      </w:r>
    </w:p>
    <w:p>
      <w:r>
        <w:rPr>
          <w:rFonts w:ascii="等线(中文正文)" w:hAnsi="等线(中文正文)" w:cs="等线(中文正文)" w:eastAsia="等线(中文正文)"/>
          <w:b w:val="false"/>
          <w:i w:val="false"/>
          <w:sz w:val="20"/>
        </w:rPr>
        <w:t>发言人1 答：摩根士丹利设定泡泡玛特的目标价为278港币，基于20倍的2026年预期市盈率，与2025至2027年的销售和盈利增速相匹配。若公司在中国和海外销售持续强劲并扩充产品线、推出以IP为核心的新举措，有望获得更高估值。</w:t>
      </w:r>
    </w:p>
    <w:p>
      <w:r>
        <w:rPr>
          <w:rFonts w:ascii="等线(中文正文)" w:hAnsi="等线(中文正文)" w:cs="等线(中文正文)" w:eastAsia="等线(中文正文)"/>
          <w:b w:val="false"/>
          <w:i w:val="false"/>
          <w:sz w:val="20"/>
        </w:rPr>
        <w:t/>
      </w:r>
    </w:p>
    <w:p>
      <w:pPr>
        <w:pStyle w:val="ab"/>
      </w:pPr>
      <w:r>
        <w:t>发言人1 问：泡泡玛特的目标价与市场一致预期及风险回报图表之间的差异是什么？</w:t>
      </w:r>
    </w:p>
    <w:p>
      <w:r>
        <w:rPr>
          <w:rFonts w:ascii="等线(中文正文)" w:hAnsi="等线(中文正文)" w:cs="等线(中文正文)" w:eastAsia="等线(中文正文)"/>
          <w:b w:val="false"/>
          <w:i w:val="false"/>
          <w:sz w:val="20"/>
        </w:rPr>
        <w:t>发言人1 答：摩根士丹利的目标价为278港币，市场一致预期目标价在104.98港币至373.93港币之间，均值为250.86港币。风险回报图表通过市场数据和摩根士丹利分析展现股价可能回报与风险的关系，帮助投资者直观评估潜在收益与风险。</w:t>
      </w:r>
    </w:p>
    <w:p>
      <w:r>
        <w:rPr>
          <w:rFonts w:ascii="等线(中文正文)" w:hAnsi="等线(中文正文)" w:cs="等线(中文正文)" w:eastAsia="等线(中文正文)"/>
          <w:b w:val="false"/>
          <w:i w:val="false"/>
          <w:sz w:val="20"/>
        </w:rPr>
        <w:t/>
      </w:r>
    </w:p>
    <w:p>
      <w:pPr>
        <w:pStyle w:val="ab"/>
      </w:pPr>
      <w:r>
        <w:t>发言人1 问：泡泡玛特在乐观和悲观情况下的目标价分别是多少，核心假设是什么？</w:t>
      </w:r>
    </w:p>
    <w:p>
      <w:r>
        <w:rPr>
          <w:rFonts w:ascii="等线(中文正文)" w:hAnsi="等线(中文正文)" w:cs="等线(中文正文)" w:eastAsia="等线(中文正文)"/>
          <w:b w:val="false"/>
          <w:i w:val="false"/>
          <w:sz w:val="20"/>
        </w:rPr>
        <w:t>发言人1 答：在乐观情况下，泡泡玛特的目标价是419港币，基于28倍的2026年预期每股收益，以及2025至2027年调整后的盈利复合年增长率33%。悲观情况下，目标价降至129港币，估值倍数下降至14倍2026年预期每股收益，且2025至2027年的调整后盈利复合年增长率仅为5%，主要假设是中国和海外消费疲软、产品生命周期缩短以及海外扩张不顺利等。</w:t>
      </w:r>
    </w:p>
    <w:p>
      <w:r>
        <w:rPr>
          <w:rFonts w:ascii="等线(中文正文)" w:hAnsi="等线(中文正文)" w:cs="等线(中文正文)" w:eastAsia="等线(中文正文)"/>
          <w:b w:val="false"/>
          <w:i w:val="false"/>
          <w:sz w:val="20"/>
        </w:rPr>
        <w:t/>
      </w:r>
    </w:p>
    <w:p>
      <w:pPr>
        <w:pStyle w:val="ab"/>
      </w:pPr>
      <w:r>
        <w:t>发言人1 问：泡泡玛特在全球IP产品赛道中的定位及未来增长动力是什么？</w:t>
      </w:r>
    </w:p>
    <w:p>
      <w:r>
        <w:rPr>
          <w:rFonts w:ascii="等线(中文正文)" w:hAnsi="等线(中文正文)" w:cs="等线(中文正文)" w:eastAsia="等线(中文正文)"/>
          <w:b w:val="false"/>
          <w:i w:val="false"/>
          <w:sz w:val="20"/>
        </w:rPr>
        <w:t>发言人1 答：泡泡玛特有机会成为融合全球知名IP企业的领军品牌，目前正通过拉布布IP带动销售并加速全球扩张。新动作如pop land和pop pop等项目有望成为未来收入增长点，提升整体IP价值。</w:t>
      </w:r>
    </w:p>
    <w:p>
      <w:r>
        <w:rPr>
          <w:rFonts w:ascii="等线(中文正文)" w:hAnsi="等线(中文正文)" w:cs="等线(中文正文)" w:eastAsia="等线(中文正文)"/>
          <w:b w:val="false"/>
          <w:i w:val="false"/>
          <w:sz w:val="20"/>
        </w:rPr>
        <w:t/>
      </w:r>
    </w:p>
    <w:p>
      <w:pPr>
        <w:pStyle w:val="ab"/>
      </w:pPr>
      <w:r>
        <w:t>发言人1 问：泡泡玛特在定价能力和行业增长上有什么独特优势？</w:t>
      </w:r>
    </w:p>
    <w:p>
      <w:r>
        <w:rPr>
          <w:rFonts w:ascii="等线(中文正文)" w:hAnsi="等线(中文正文)" w:cs="等线(中文正文)" w:eastAsia="等线(中文正文)"/>
          <w:b w:val="false"/>
          <w:i w:val="false"/>
          <w:sz w:val="20"/>
        </w:rPr>
        <w:t>发言人1 答：泡泡玛特在定价能力和行业增长方面被评为positive（正面），表明公司在定价上有一定话语权，且所处的成人玩具赛道具有较强的成长性。</w:t>
      </w:r>
    </w:p>
    <w:p>
      <w:r>
        <w:rPr>
          <w:rFonts w:ascii="等线(中文正文)" w:hAnsi="等线(中文正文)" w:cs="等线(中文正文)" w:eastAsia="等线(中文正文)"/>
          <w:b w:val="false"/>
          <w:i w:val="false"/>
          <w:sz w:val="20"/>
        </w:rPr>
        <w:t/>
      </w:r>
    </w:p>
    <w:p>
      <w:pPr>
        <w:pStyle w:val="ab"/>
      </w:pPr>
      <w:r>
        <w:t>发言人1 问：泡泡玛特在未来几年中国和海外的零售门店数量以及销售增长会如何变化？</w:t>
      </w:r>
    </w:p>
    <w:p>
      <w:r>
        <w:rPr>
          <w:rFonts w:ascii="等线(中文正文)" w:hAnsi="等线(中文正文)" w:cs="等线(中文正文)" w:eastAsia="等线(中文正文)"/>
          <w:b w:val="false"/>
          <w:i w:val="false"/>
          <w:sz w:val="20"/>
        </w:rPr>
        <w:t>发言人1 答：预计中国市场到2025年将有422家门店，到2028年增长至498家；海外市场扩张速度更快，从2025年的256家增长到2028年的526家。在销售增长方面，中国市场的年复合增长率预计为13.6%，而海外市场则为19.5%。</w:t>
      </w:r>
    </w:p>
    <w:p>
      <w:r>
        <w:rPr>
          <w:rFonts w:ascii="等线(中文正文)" w:hAnsi="等线(中文正文)" w:cs="等线(中文正文)" w:eastAsia="等线(中文正文)"/>
          <w:b w:val="false"/>
          <w:i w:val="false"/>
          <w:sz w:val="20"/>
        </w:rPr>
        <w:t/>
      </w:r>
    </w:p>
    <w:p>
      <w:pPr>
        <w:pStyle w:val="ab"/>
      </w:pPr>
      <w:r>
        <w:t>发言人1 问：泡泡玛特未来业绩增长的关键动力有哪些因素？</w:t>
      </w:r>
    </w:p>
    <w:p>
      <w:r>
        <w:rPr>
          <w:rFonts w:ascii="等线(中文正文)" w:hAnsi="等线(中文正文)" w:cs="等线(中文正文)" w:eastAsia="等线(中文正文)"/>
          <w:b w:val="false"/>
          <w:i w:val="false"/>
          <w:sz w:val="20"/>
        </w:rPr>
        <w:t>发言人1 答：除了门店扩张外，新产品类别的推出、新系列和新IP的推出是重要的增长动力。此外，新的业务如pop land、pop block、银饰饰品店、蛋糕店以及trading card等也是未来业绩增长的关键驱动力。</w:t>
      </w:r>
    </w:p>
    <w:p>
      <w:r>
        <w:rPr>
          <w:rFonts w:ascii="等线(中文正文)" w:hAnsi="等线(中文正文)" w:cs="等线(中文正文)" w:eastAsia="等线(中文正文)"/>
          <w:b w:val="false"/>
          <w:i w:val="false"/>
          <w:sz w:val="20"/>
        </w:rPr>
        <w:t/>
      </w:r>
    </w:p>
    <w:p>
      <w:pPr>
        <w:pStyle w:val="ab"/>
      </w:pPr>
      <w:r>
        <w:t>发言人1 问：泡泡玛特目前全球收入分布情况及各区域市场占比是多少？</w:t>
      </w:r>
    </w:p>
    <w:p>
      <w:r>
        <w:rPr>
          <w:rFonts w:ascii="等线(中文正文)" w:hAnsi="等线(中文正文)" w:cs="等线(中文正文)" w:eastAsia="等线(中文正文)"/>
          <w:b w:val="false"/>
          <w:i w:val="false"/>
          <w:sz w:val="20"/>
        </w:rPr>
        <w:t>发言人1 答：中国大陆占比最大，为50%到60%；其次是亚太地区（除日本、中国大陆和印度外）占比20%到30%；北美占比10%到20%；欧洲、英国和日本等其他地区占比在10%以内。</w:t>
      </w:r>
    </w:p>
    <w:p>
      <w:r>
        <w:rPr>
          <w:rFonts w:ascii="等线(中文正文)" w:hAnsi="等线(中文正文)" w:cs="等线(中文正文)" w:eastAsia="等线(中文正文)"/>
          <w:b w:val="false"/>
          <w:i w:val="false"/>
          <w:sz w:val="20"/>
        </w:rPr>
        <w:t/>
      </w:r>
    </w:p>
    <w:p>
      <w:pPr>
        <w:pStyle w:val="ab"/>
      </w:pPr>
      <w:r>
        <w:t>发言人1 问：摩根士丹利的alpha模型是如何给泡泡玛特打分的，以及这个评分意味着什么？</w:t>
      </w:r>
    </w:p>
    <w:p>
      <w:r>
        <w:rPr>
          <w:rFonts w:ascii="等线(中文正文)" w:hAnsi="等线(中文正文)" w:cs="等线(中文正文)" w:eastAsia="等线(中文正文)"/>
          <w:b w:val="false"/>
          <w:i w:val="false"/>
          <w:sz w:val="20"/>
        </w:rPr>
        <w:t>发言人1 答：在摩根士丹利alpha模型中，泡泡玛特在三个月的时间范围内获得了五分（满分）的好评。这意味着在摩根士丹利研究覆盖的范围内，泡泡玛特近期表现被高度看好，一分是最高评分，五分是最低评分。</w:t>
      </w:r>
    </w:p>
    <w:p>
      <w:r>
        <w:rPr>
          <w:rFonts w:ascii="等线(中文正文)" w:hAnsi="等线(中文正文)" w:cs="等线(中文正文)" w:eastAsia="等线(中文正文)"/>
          <w:b w:val="false"/>
          <w:i w:val="false"/>
          <w:sz w:val="20"/>
        </w:rPr>
        <w:t/>
      </w:r>
    </w:p>
    <w:p>
      <w:pPr>
        <w:pStyle w:val="ab"/>
      </w:pPr>
      <w:r>
        <w:t>发言人1 问：泡泡玛特股价上涨和下跌的风险有哪些？目前机构投资者持有泡泡玛特的比例是多少？</w:t>
      </w:r>
    </w:p>
    <w:p>
      <w:r>
        <w:rPr>
          <w:rFonts w:ascii="等线(中文正文)" w:hAnsi="等线(中文正文)" w:cs="等线(中文正文)" w:eastAsia="等线(中文正文)"/>
          <w:b w:val="false"/>
          <w:i w:val="false"/>
          <w:sz w:val="20"/>
        </w:rPr>
        <w:t>发言人1 答：股价上涨风险包括海外业务拓展超预期、标志性旗舰店的成功、爆款产品和IP不断推出、新业务发展顺利及中国市场热度持续。而股价下行风险主要来自整体经济环境不佳、新产品新IP市场反响不佳、无法持续推出吸引力产品、海外扩张不顺利甚至遭遇国际贸易摩擦。目前机构投资者持有泡泡玛特的股份比例为54.3%。</w:t>
      </w:r>
    </w:p>
    <w:p>
      <w:r>
        <w:rPr>
          <w:rFonts w:ascii="等线(中文正文)" w:hAnsi="等线(中文正文)" w:cs="等线(中文正文)" w:eastAsia="等线(中文正文)"/>
          <w:b w:val="false"/>
          <w:i w:val="false"/>
          <w:sz w:val="20"/>
        </w:rPr>
        <w:t/>
      </w:r>
    </w:p>
    <w:p>
      <w:pPr>
        <w:pStyle w:val="ab"/>
      </w:pPr>
      <w:r>
        <w:t>发言人1 问：摩根士坦利对泡泡玛特财务预测与市场一致预期有何区别？</w:t>
      </w:r>
    </w:p>
    <w:p>
      <w:r>
        <w:rPr>
          <w:rFonts w:ascii="等线(中文正文)" w:hAnsi="等线(中文正文)" w:cs="等线(中文正文)" w:eastAsia="等线(中文正文)"/>
          <w:b w:val="false"/>
          <w:i w:val="false"/>
          <w:sz w:val="20"/>
        </w:rPr>
        <w:t>发言人1 答：摩根士坦利预测泡泡玛特2026年的销售收入为4588.23亿元人民币，息税前利润为1948.96亿元人民币，净利润为1911.90亿元人民币，这些数据相比市场一致预期稍高。</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2026-04-21T15:18:09Z</dcterms:created>
  <dc:creator>Apache POI</dc:creator>
</cp:coreProperties>
</file>