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【摩根士丹利】研报解读：全球宏观论坛260421_导读</w:t>
      </w:r>
    </w:p>
    <w:p>
      <w:pPr>
        <w:pStyle w:val="a0"/>
        <w:jc w:val="center"/>
      </w:pPr>
      <w:r>
        <w:t>2026年04月21日 23:16</w:t>
      </w:r>
    </w:p>
    <w:p>
      <w:pPr>
        <w:pStyle w:val="a7"/>
      </w:pPr>
      <w:r>
        <w:t>关键词</w:t>
      </w:r>
    </w:p>
    <w:p>
      <w:r>
        <w:rPr>
          <w:rFonts w:ascii="等线(中文正文)" w:hAnsi="等线(中文正文)" w:cs="等线(中文正文)" w:eastAsia="等线(中文正文)"/>
          <w:b w:val="false"/>
          <w:i w:val="false"/>
          <w:sz w:val="20"/>
        </w:rPr>
        <w:t xml:space="preserve">财政刺激 劳动生产率 AI 私人信贷 软件行业 违约风险 资本深化 全要素生产率 过剩资本 信用风险 杠杆水平 利率上升 信用利差 地缘政治 赎回闸门 基金 资产配置 银行信贷市场 联系 调整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美国经济面临财政刺激效果减弱的挑战，同时人工智能（AI）在促进劳动生产率增长方面显示出积极作用，尤其是在高科技行业。银行资本新规实施后，虽然过剩资本增加，促进了贷款增长，但私人信贷领域的违约风险有所上升，尤其是在与软件相关的信贷领域。今年的退税额增幅为多年最低，加之高油价的影响，可能对消费者支出造成抑制。此外，中东局势的紧张也对美国的金融环境和货币政策构成了影响。尽管存在潜在风险，整体上系统性危机的风险似乎可控。地缘政治的动荡对信用市场产生影响，但历史数据显示市场有重新恢复风险偏好的趋势。</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美国经济：财政刺激减弱，高油价拖累消费</w:t>
      </w:r>
    </w:p>
    <w:p>
      <w:r>
        <w:rPr>
          <w:rFonts w:ascii="等线(中文正文)" w:hAnsi="等线(中文正文)" w:cs="等线(中文正文)" w:eastAsia="等线(中文正文)"/>
          <w:b w:val="false"/>
          <w:i w:val="false"/>
          <w:sz w:val="20"/>
        </w:rPr>
        <w:t>美国今年的退税额增长仅为14%，处于预期区间的最低点，加之油价维持高位，导致消费者可支配收入减少，削弱了财政政策对消费的刺激作用。尽管AI推动劳动生产率提升，银行资本新规增加放贷空间，但软件相关信贷违约风险上升，整体经济尚无系统性危机迹象。</w:t>
      </w:r>
    </w:p>
    <w:p>
      <w:r>
        <w:rPr>
          <w:rFonts w:ascii="等线(中文正文)" w:hAnsi="等线(中文正文)" w:cs="等线(中文正文)" w:eastAsia="等线(中文正文)"/>
          <w:b w:val="false"/>
          <w:i w:val="false"/>
          <w:sz w:val="20"/>
        </w:rPr>
        <w:t/>
      </w:r>
    </w:p>
    <w:p>
      <w:pPr>
        <w:pStyle w:val="ab"/>
        <w:numPr>
          <w:numId w:val="2"/>
        </w:numPr>
      </w:pPr>
      <w:r>
        <w:t>01:34 中东局势紧张与AI对劳动生产率的影响</w:t>
      </w:r>
    </w:p>
    <w:p>
      <w:r>
        <w:rPr>
          <w:rFonts w:ascii="等线(中文正文)" w:hAnsi="等线(中文正文)" w:cs="等线(中文正文)" w:eastAsia="等线(中文正文)"/>
          <w:b w:val="false"/>
          <w:i w:val="false"/>
          <w:sz w:val="20"/>
        </w:rPr>
        <w:t>中东局势升级导致美国金融环境收紧，相当于美联储加息30个基点，促使美联储可能暂缓加息决策。AI高暴露行业对非农部门劳动生产率提升贡献显著，2025年第四季度前贡献1.7个百分点，主要动力来自产出增长而非裁员。</w:t>
      </w:r>
    </w:p>
    <w:p>
      <w:r>
        <w:rPr>
          <w:rFonts w:ascii="等线(中文正文)" w:hAnsi="等线(中文正文)" w:cs="等线(中文正文)" w:eastAsia="等线(中文正文)"/>
          <w:b w:val="false"/>
          <w:i w:val="false"/>
          <w:sz w:val="20"/>
        </w:rPr>
        <w:t/>
      </w:r>
    </w:p>
    <w:p>
      <w:pPr>
        <w:pStyle w:val="ab"/>
        <w:numPr>
          <w:numId w:val="3"/>
        </w:numPr>
      </w:pPr>
      <w:r>
        <w:t>03:37 AI与银行资本改革对生产率和贷款增长的影响</w:t>
      </w:r>
    </w:p>
    <w:p>
      <w:r>
        <w:rPr>
          <w:rFonts w:ascii="等线(中文正文)" w:hAnsi="等线(中文正文)" w:cs="等线(中文正文)" w:eastAsia="等线(中文正文)"/>
          <w:b w:val="false"/>
          <w:i w:val="false"/>
          <w:sz w:val="20"/>
        </w:rPr>
        <w:t>讨论了AI在高科技行业提升劳动生产率的作用，指出资本深化是关键因素，同时劳动生产率的提升可能还受到招聘追赶效应结束和企业对成本效率重视的影响。分析了美国银行业新资本规则下过剩资本增加20%的现象，以及银行如何通过增加贷款尤其是商业贷款来利用这些资本，同时强调了银行对私人信贷风险的控制措施。</w:t>
      </w:r>
    </w:p>
    <w:p>
      <w:r>
        <w:rPr>
          <w:rFonts w:ascii="等线(中文正文)" w:hAnsi="等线(中文正文)" w:cs="等线(中文正文)" w:eastAsia="等线(中文正文)"/>
          <w:b w:val="false"/>
          <w:i w:val="false"/>
          <w:sz w:val="20"/>
        </w:rPr>
        <w:t/>
      </w:r>
    </w:p>
    <w:p>
      <w:pPr>
        <w:pStyle w:val="ab"/>
        <w:numPr>
          <w:numId w:val="4"/>
        </w:numPr>
      </w:pPr>
      <w:r>
        <w:t>07:22 私人信贷借款人信用状况与高风险市场对比</w:t>
      </w:r>
    </w:p>
    <w:p>
      <w:r>
        <w:rPr>
          <w:rFonts w:ascii="等线(中文正文)" w:hAnsi="等线(中文正文)" w:cs="等线(中文正文)" w:eastAsia="等线(中文正文)"/>
          <w:b w:val="false"/>
          <w:i w:val="false"/>
          <w:sz w:val="20"/>
        </w:rPr>
        <w:t>对话讨论了私人信贷借款人与公开市场低评级发行人的信用状况对比，指出私人信贷借款人多为中小型高杠杆企业，其信用指标与单B或CCC级发行人相近，风险特征属高风险高收益类型。</w:t>
      </w:r>
    </w:p>
    <w:p>
      <w:r>
        <w:rPr>
          <w:rFonts w:ascii="等线(中文正文)" w:hAnsi="等线(中文正文)" w:cs="等线(中文正文)" w:eastAsia="等线(中文正文)"/>
          <w:b w:val="false"/>
          <w:i w:val="false"/>
          <w:sz w:val="20"/>
        </w:rPr>
        <w:t/>
      </w:r>
    </w:p>
    <w:p>
      <w:pPr>
        <w:pStyle w:val="ab"/>
        <w:numPr>
          <w:numId w:val="5"/>
        </w:numPr>
      </w:pPr>
      <w:r>
        <w:t>08:45 科技与软件行业在借贷市场占比激增及其信用风险分析</w:t>
      </w:r>
    </w:p>
    <w:p>
      <w:r>
        <w:rPr>
          <w:rFonts w:ascii="等线(中文正文)" w:hAnsi="等线(中文正文)" w:cs="等线(中文正文)" w:eastAsia="等线(中文正文)"/>
          <w:b w:val="false"/>
          <w:i w:val="false"/>
          <w:sz w:val="20"/>
        </w:rPr>
        <w:t>讨论了科技与软件行业在直接借贷市场中的占比显著提升，特别是在新冠疫情后，科技板块占比从不到10%上升至20%，部分源于疫情后科技行业交易活动的活跃。软件行业因其高杠杆率（中位数8倍）和低现金利息覆盖倍数（1.4倍）成为信用风险焦点，尤其是在利率上升背景下。模型预测未来12个月私人信贷和广泛syndicated loans的违约率将分别上升至8%和5.5%，软件行业面临重大再融资压力，但整体违约率预计不会达到历史高点，私人信贷回收率预计较高。</w:t>
      </w:r>
    </w:p>
    <w:p>
      <w:r>
        <w:rPr>
          <w:rFonts w:ascii="等线(中文正文)" w:hAnsi="等线(中文正文)" w:cs="等线(中文正文)" w:eastAsia="等线(中文正文)"/>
          <w:b w:val="false"/>
          <w:i w:val="false"/>
          <w:sz w:val="20"/>
        </w:rPr>
        <w:t/>
      </w:r>
    </w:p>
    <w:p>
      <w:pPr>
        <w:pStyle w:val="ab"/>
        <w:numPr>
          <w:numId w:val="6"/>
        </w:numPr>
      </w:pPr>
      <w:r>
        <w:t>12:14 信贷市场风险分析与地缘政治影响探讨</w:t>
      </w:r>
    </w:p>
    <w:p>
      <w:r>
        <w:rPr>
          <w:rFonts w:ascii="等线(中文正文)" w:hAnsi="等线(中文正文)" w:cs="等线(中文正文)" w:eastAsia="等线(中文正文)"/>
          <w:b w:val="false"/>
          <w:i w:val="false"/>
          <w:sz w:val="20"/>
        </w:rPr>
        <w:t>对话讨论了债务到期分布带来的风险，指出软件行业外其他行业风险可控。分析了一级市场活跃度对信贷风险蔓延担忧的影响，提及地缘政治动荡对信用市场的影响，并回顾了类似历史时期。此外，探讨了零售私人信贷基金赎回压力下的应对措施及行业变化，强调了多元化另类投资产品的机遇。</w:t>
      </w:r>
    </w:p>
    <w:p>
      <w:r>
        <w:rPr>
          <w:rFonts w:ascii="等线(中文正文)" w:hAnsi="等线(中文正文)" w:cs="等线(中文正文)" w:eastAsia="等线(中文正文)"/>
          <w:b w:val="false"/>
          <w:i w:val="false"/>
          <w:sz w:val="20"/>
        </w:rPr>
        <w:t/>
      </w:r>
    </w:p>
    <w:p>
      <w:pPr>
        <w:pStyle w:val="a7"/>
      </w:pPr>
      <w:r>
        <w:t>发言总结</w:t>
      </w:r>
    </w:p>
    <w:p>
      <w:pPr>
        <w:pStyle w:val="ab"/>
        <w:numPr>
          <w:numId w:val="7"/>
        </w:numPr>
      </w:pPr>
      <w:r>
        <w:t>发言人1</w:t>
      </w:r>
    </w:p>
    <w:p>
      <w:r>
        <w:rPr>
          <w:rFonts w:ascii="等线(中文正文)" w:hAnsi="等线(中文正文)" w:cs="等线(中文正文)" w:eastAsia="等线(中文正文)"/>
          <w:b w:val="false"/>
          <w:i w:val="false"/>
          <w:sz w:val="20"/>
        </w:rPr>
        <w:t>他讨论了美国经济的多个关键方面。首先，他指出了财政刺激措施的效果正在减弱，同时强调了人工智能（AI）在提高劳动生产率方面的作用，特别是高科技行业因AI投入而展现出显著增长。他还提到了银行资本新规对放贷空间的积极影响，指出过剩资本增加促进了贷款增长，但同时强调了对私人信贷风险的严格管理。
此外，他讨论了消费者面临的挑战，如退税额减少和油价上涨对支出的影响。他关注了中东局势可能对美国金融环境和美联储政策产生的潜在影响。在信贷市场方面，他分析了私人信贷和syndicated loans的违约风险，同时提到了地缘政治波动对信用市场的影响。
最后，他提及了软件行业面临的再融资压力和信用风险，并对比了投资级和高收益债市场的活跃度。总的来说，他提供了对当前美国经济多维度情况的全面总结，指出了潜在风险和市场动态，强调了政策调整和市场适应的重要性。</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问：美国经济中，近期财政刺激的效果如何？</w:t>
      </w:r>
    </w:p>
    <w:p>
      <w:r>
        <w:rPr>
          <w:rFonts w:ascii="等线(中文正文)" w:hAnsi="等线(中文正文)" w:cs="等线(中文正文)" w:eastAsia="等线(中文正文)"/>
          <w:b w:val="false"/>
          <w:i w:val="false"/>
          <w:sz w:val="20"/>
        </w:rPr>
        <w:t>发言人1 答：最近的财政刺激作用似乎正在减弱，AI技术在一些行业中提高了劳动生产率，同时银行的新资本新规为放贷提供了更多空间。然而，在与软件相关的私人信贷领域，违约风险也在上升，整体来看，尽管不至于引发系统性危机，但对经济的影响仍需关注。</w:t>
      </w:r>
    </w:p>
    <w:p>
      <w:r>
        <w:rPr>
          <w:rFonts w:ascii="等线(中文正文)" w:hAnsi="等线(中文正文)" w:cs="等线(中文正文)" w:eastAsia="等线(中文正文)"/>
          <w:b w:val="false"/>
          <w:i w:val="false"/>
          <w:sz w:val="20"/>
        </w:rPr>
        <w:t/>
      </w:r>
    </w:p>
    <w:p>
      <w:pPr>
        <w:pStyle w:val="ab"/>
      </w:pPr>
      <w:r>
        <w:t>发言人1 问：今年美国退税额增长较低，与油价上涨结合会对消费者支出有何影响？</w:t>
      </w:r>
    </w:p>
    <w:p>
      <w:r>
        <w:rPr>
          <w:rFonts w:ascii="等线(中文正文)" w:hAnsi="等线(中文正文)" w:cs="等线(中文正文)" w:eastAsia="等线(中文正文)"/>
          <w:b w:val="false"/>
          <w:i w:val="false"/>
          <w:sz w:val="20"/>
        </w:rPr>
        <w:t>发言人1 答：今年税退还增长只有14%，若油价维持当前水平，其负担将超过退税额增长带来的利好，导致消费者可支配收入减少而非增加。这使得原本可能刺激消费的财政政策效果大减，甚至可能成为拖累。</w:t>
      </w:r>
    </w:p>
    <w:p>
      <w:r>
        <w:rPr>
          <w:rFonts w:ascii="等线(中文正文)" w:hAnsi="等线(中文正文)" w:cs="等线(中文正文)" w:eastAsia="等线(中文正文)"/>
          <w:b w:val="false"/>
          <w:i w:val="false"/>
          <w:sz w:val="20"/>
        </w:rPr>
        <w:t/>
      </w:r>
    </w:p>
    <w:p>
      <w:pPr>
        <w:pStyle w:val="ab"/>
      </w:pPr>
      <w:r>
        <w:t>发言人1 问：中东局势紧张对美国金融环境及美联储货币政策有何影响？</w:t>
      </w:r>
    </w:p>
    <w:p>
      <w:r>
        <w:rPr>
          <w:rFonts w:ascii="等线(中文正文)" w:hAnsi="等线(中文正文)" w:cs="等线(中文正文)" w:eastAsia="等线(中文正文)"/>
          <w:b w:val="false"/>
          <w:i w:val="false"/>
          <w:sz w:val="20"/>
        </w:rPr>
        <w:t>发言人1 答：中东冲突升级后，美国金融环境迅速收紧，市场已提前进行了部分紧缩操作，相当于美联储加息30个基点。这使得美联储接下来的决策更为谨慎，有理由暂缓进一步加息，因为当前金融环境已经达到了预期的紧缩效果并超过了预期程度。</w:t>
      </w:r>
    </w:p>
    <w:p>
      <w:r>
        <w:rPr>
          <w:rFonts w:ascii="等线(中文正文)" w:hAnsi="等线(中文正文)" w:cs="等线(中文正文)" w:eastAsia="等线(中文正文)"/>
          <w:b w:val="false"/>
          <w:i w:val="false"/>
          <w:sz w:val="20"/>
        </w:rPr>
        <w:t/>
      </w:r>
    </w:p>
    <w:p>
      <w:pPr>
        <w:pStyle w:val="ab"/>
      </w:pPr>
      <w:r>
        <w:t>发言人1 问：人工智能是如何影响不同行业的劳动生产率提升的？</w:t>
      </w:r>
    </w:p>
    <w:p>
      <w:r>
        <w:rPr>
          <w:rFonts w:ascii="等线(中文正文)" w:hAnsi="等线(中文正文)" w:cs="等线(中文正文)" w:eastAsia="等线(中文正文)"/>
          <w:b w:val="false"/>
          <w:i w:val="false"/>
          <w:sz w:val="20"/>
        </w:rPr>
        <w:t>发言人1 答：研究发现AI暴露程度高的行业与劳动生产率提升呈正相关。在截至2025年的四个季度中，这些行业的劳动生产率提升了整个非农部门劳动生产率的1.7个百分点，且这个贡献率比前一年有所上升。劳动生产率增长主要动力来自于产出的增加，而非简单减少人力，高AI暴露行业的就业增长趋势与低AI暴露行业相似，但高AI暴露行业的产出增速更快。</w:t>
      </w:r>
    </w:p>
    <w:p>
      <w:r>
        <w:rPr>
          <w:rFonts w:ascii="等线(中文正文)" w:hAnsi="等线(中文正文)" w:cs="等线(中文正文)" w:eastAsia="等线(中文正文)"/>
          <w:b w:val="false"/>
          <w:i w:val="false"/>
          <w:sz w:val="20"/>
        </w:rPr>
        <w:t/>
      </w:r>
    </w:p>
    <w:p>
      <w:pPr>
        <w:pStyle w:val="ab"/>
      </w:pPr>
      <w:r>
        <w:t>发言人1 问：哪些行业因AI投入而劳动生产率提升最为明显？</w:t>
      </w:r>
    </w:p>
    <w:p>
      <w:r>
        <w:rPr>
          <w:rFonts w:ascii="等线(中文正文)" w:hAnsi="等线(中文正文)" w:cs="等线(中文正文)" w:eastAsia="等线(中文正文)"/>
          <w:b w:val="false"/>
          <w:i w:val="false"/>
          <w:sz w:val="20"/>
        </w:rPr>
        <w:t>发言人1 答：高科技行业如数据处理、计算机系统设计、计算机制造商以及软件出版等因大量投资AI基础设施而劳动生产率提升最快。不过，全要素生产率是否因AI应用而提升尚不明确，除AI外，还有其他因素如招聘追赶效应结束和企业对成本效率提升重视等共同促进了劳动生产率的增长。</w:t>
      </w:r>
    </w:p>
    <w:p>
      <w:r>
        <w:rPr>
          <w:rFonts w:ascii="等线(中文正文)" w:hAnsi="等线(中文正文)" w:cs="等线(中文正文)" w:eastAsia="等线(中文正文)"/>
          <w:b w:val="false"/>
          <w:i w:val="false"/>
          <w:sz w:val="20"/>
        </w:rPr>
        <w:t/>
      </w:r>
    </w:p>
    <w:p>
      <w:pPr>
        <w:pStyle w:val="ab"/>
      </w:pPr>
      <w:r>
        <w:t>发言人1 问：银行资本改革对美国银行业的过剩资本有何影响？</w:t>
      </w:r>
    </w:p>
    <w:p>
      <w:r>
        <w:rPr>
          <w:rFonts w:ascii="等线(中文正文)" w:hAnsi="等线(中文正文)" w:cs="等线(中文正文)" w:eastAsia="等线(中文正文)"/>
          <w:b w:val="false"/>
          <w:i w:val="false"/>
          <w:sz w:val="20"/>
        </w:rPr>
        <w:t>发言人1 答：新的资本规则使美国银行业的资本要求下降，导致银行过剩资本从2660亿美元上升至3200亿美元。银行通过普通股权一级资本充足率下降40个基点来积极将多余资本投入实体经济，尤其是商业贷款，同比增速强劲。</w:t>
      </w:r>
    </w:p>
    <w:p>
      <w:r>
        <w:rPr>
          <w:rFonts w:ascii="等线(中文正文)" w:hAnsi="等线(中文正文)" w:cs="等线(中文正文)" w:eastAsia="等线(中文正文)"/>
          <w:b w:val="false"/>
          <w:i w:val="false"/>
          <w:sz w:val="20"/>
        </w:rPr>
        <w:t/>
      </w:r>
    </w:p>
    <w:p>
      <w:pPr>
        <w:pStyle w:val="ab"/>
      </w:pPr>
      <w:r>
        <w:t>发言人1 问：美国银行对私人信贷的风险敞口有多大？如何控制这些风险？</w:t>
      </w:r>
    </w:p>
    <w:p>
      <w:r>
        <w:rPr>
          <w:rFonts w:ascii="等线(中文正文)" w:hAnsi="等线(中文正文)" w:cs="等线(中文正文)" w:eastAsia="等线(中文正文)"/>
          <w:b w:val="false"/>
          <w:i w:val="false"/>
          <w:sz w:val="20"/>
        </w:rPr>
        <w:t>发言人1 答：银行对私人信贷的风险敞口有限，贷款占比约为全部贷款的3%左右。银行通过贷款额度控制、分散投资等方式降低风险，例如给私人信贷基金的贷款一般为其对企业贷款的60%，并且对企业的总贷款对企业价值比例控制在50%以内。</w:t>
      </w:r>
    </w:p>
    <w:p>
      <w:r>
        <w:rPr>
          <w:rFonts w:ascii="等线(中文正文)" w:hAnsi="等线(中文正文)" w:cs="等线(中文正文)" w:eastAsia="等线(中文正文)"/>
          <w:b w:val="false"/>
          <w:i w:val="false"/>
          <w:sz w:val="20"/>
        </w:rPr>
        <w:t/>
      </w:r>
    </w:p>
    <w:p>
      <w:pPr>
        <w:pStyle w:val="ab"/>
      </w:pPr>
      <w:r>
        <w:t>发言人1 问：私人信贷整体风险状况及其行业分布如何？</w:t>
      </w:r>
    </w:p>
    <w:p>
      <w:r>
        <w:rPr>
          <w:rFonts w:ascii="等线(中文正文)" w:hAnsi="等线(中文正文)" w:cs="等线(中文正文)" w:eastAsia="等线(中文正文)"/>
          <w:b w:val="false"/>
          <w:i w:val="false"/>
          <w:sz w:val="20"/>
        </w:rPr>
        <w:t>发言人1 答：私人信贷大部分借款人是中小型企业的EBITDA在3000万至4000万美元之间，整体杠杆率在5到7倍，利息覆盖倍数在1到2倍之间，与公开市场上低评级发行人的相同点和不同点有待进一步分析。</w:t>
      </w:r>
    </w:p>
    <w:p>
      <w:r>
        <w:rPr>
          <w:rFonts w:ascii="等线(中文正文)" w:hAnsi="等线(中文正文)" w:cs="等线(中文正文)" w:eastAsia="等线(中文正文)"/>
          <w:b w:val="false"/>
          <w:i w:val="false"/>
          <w:sz w:val="20"/>
        </w:rPr>
        <w:t/>
      </w:r>
    </w:p>
    <w:p>
      <w:pPr>
        <w:pStyle w:val="ab"/>
      </w:pPr>
      <w:r>
        <w:t>发言人1 问：这些企业的杠杆情况如何，与低评级公司有何差异？</w:t>
      </w:r>
    </w:p>
    <w:p>
      <w:r>
        <w:rPr>
          <w:rFonts w:ascii="等线(中文正文)" w:hAnsi="等线(中文正文)" w:cs="等线(中文正文)" w:eastAsia="等线(中文正文)"/>
          <w:b w:val="false"/>
          <w:i w:val="false"/>
          <w:sz w:val="20"/>
        </w:rPr>
        <w:t>发言人1 答：根据评级机构和估值机构跟踪的数据，私人信贷借款企业的杠杆水平较高，与公开市场上单B或CCC评级的发行人相比，在整体信用指标分布上非常接近，属于高风险高收益类型。</w:t>
      </w:r>
    </w:p>
    <w:p>
      <w:r>
        <w:rPr>
          <w:rFonts w:ascii="等线(中文正文)" w:hAnsi="等线(中文正文)" w:cs="等线(中文正文)" w:eastAsia="等线(中文正文)"/>
          <w:b w:val="false"/>
          <w:i w:val="false"/>
          <w:sz w:val="20"/>
        </w:rPr>
        <w:t/>
      </w:r>
    </w:p>
    <w:p>
      <w:pPr>
        <w:pStyle w:val="ab"/>
      </w:pPr>
      <w:r>
        <w:t>发言人1 问：直接借贷中科技和软件行业占比增长的背后有哪些结构性变化？</w:t>
      </w:r>
    </w:p>
    <w:p>
      <w:r>
        <w:rPr>
          <w:rFonts w:ascii="等线(中文正文)" w:hAnsi="等线(中文正文)" w:cs="等线(中文正文)" w:eastAsia="等线(中文正文)"/>
          <w:b w:val="false"/>
          <w:i w:val="false"/>
          <w:sz w:val="20"/>
        </w:rPr>
        <w:t>发言人1 答：在业务发展中，科技和软件行业的直接借贷占比从新冠疫情前不到10%大幅提升至目前的20%，主要是由于疫情后科技行业的交易活动变得非常活跃。</w:t>
      </w:r>
    </w:p>
    <w:p>
      <w:r>
        <w:rPr>
          <w:rFonts w:ascii="等线(中文正文)" w:hAnsi="等线(中文正文)" w:cs="等线(中文正文)" w:eastAsia="等线(中文正文)"/>
          <w:b w:val="false"/>
          <w:i w:val="false"/>
          <w:sz w:val="20"/>
        </w:rPr>
        <w:t/>
      </w:r>
    </w:p>
    <w:p>
      <w:pPr>
        <w:pStyle w:val="ab"/>
      </w:pPr>
      <w:r>
        <w:t>发言人1 问：软件行业的信用风险基本面及其与其他行业的比较如何？</w:t>
      </w:r>
    </w:p>
    <w:p>
      <w:r>
        <w:rPr>
          <w:rFonts w:ascii="等线(中文正文)" w:hAnsi="等线(中文正文)" w:cs="等线(中文正文)" w:eastAsia="等线(中文正文)"/>
          <w:b w:val="false"/>
          <w:i w:val="false"/>
          <w:sz w:val="20"/>
        </w:rPr>
        <w:t>发言人1 答：软件行业的杠杆率在所有行业中是最高的，中位数净杠杆达到八倍，而整体市场的中位数为6.6倍。尽管订阅制收入为软件公司提供了稳定的现金流，使得投资人愿意给予更高的杠杆，但随着利率上升，软件公司的利息负担加重，现金利息覆盖倍数降至1.4倍，在所有行业中最低，因此软件行业的信用风险受到特别关注。</w:t>
      </w:r>
    </w:p>
    <w:p>
      <w:r>
        <w:rPr>
          <w:rFonts w:ascii="等线(中文正文)" w:hAnsi="等线(中文正文)" w:cs="等线(中文正文)" w:eastAsia="等线(中文正文)"/>
          <w:b w:val="false"/>
          <w:i w:val="false"/>
          <w:sz w:val="20"/>
        </w:rPr>
        <w:t/>
      </w:r>
    </w:p>
    <w:p>
      <w:pPr>
        <w:pStyle w:val="ab"/>
      </w:pPr>
      <w:r>
        <w:t>发言人1 问：私人信贷和broadly syndicated loans违约率的展望以及主要驱动因素是什么？</w:t>
      </w:r>
    </w:p>
    <w:p>
      <w:r>
        <w:rPr>
          <w:rFonts w:ascii="等线(中文正文)" w:hAnsi="等线(中文正文)" w:cs="等线(中文正文)" w:eastAsia="等线(中文正文)"/>
          <w:b w:val="false"/>
          <w:i w:val="false"/>
          <w:sz w:val="20"/>
        </w:rPr>
        <w:t>发言人1 答：模型预测未来12个月，私人信贷违约率将上升至8%，broadly syndicated loans违约率将升至5.5%。主要原因是软件行业的压力加大，将出现较多困境债务置换，但违约率水平还未达到历史高点，且私人信贷回收率较高（可能在7到8成）。而broadly syndicated loans违约率较低，主要原因是软件行业的债务再融资压力将在2026年下半年变得巨大。</w:t>
      </w:r>
    </w:p>
    <w:p>
      <w:r>
        <w:rPr>
          <w:rFonts w:ascii="等线(中文正文)" w:hAnsi="等线(中文正文)" w:cs="等线(中文正文)" w:eastAsia="等线(中文正文)"/>
          <w:b w:val="false"/>
          <w:i w:val="false"/>
          <w:sz w:val="20"/>
        </w:rPr>
        <w:t/>
      </w:r>
    </w:p>
    <w:p>
      <w:pPr>
        <w:pStyle w:val="ab"/>
      </w:pPr>
      <w:r>
        <w:t>发言人1 问：当前一级市场和二级市场的表现是否会影响投资者对潜在信贷风险蔓延的担忧？</w:t>
      </w:r>
    </w:p>
    <w:p>
      <w:r>
        <w:rPr>
          <w:rFonts w:ascii="等线(中文正文)" w:hAnsi="等线(中文正文)" w:cs="等线(中文正文)" w:eastAsia="等线(中文正文)"/>
          <w:b w:val="false"/>
          <w:i w:val="false"/>
          <w:sz w:val="20"/>
        </w:rPr>
        <w:t>发言人1 答：目前，投资级和高收益债的新债发行量较去年同期上涨超过20%，银团贷款市场中LBO贷款量也比去年增加三成，显示出一级市场活跃，融资环境宽松，投资者暂时不担心风险扩散。</w:t>
      </w:r>
    </w:p>
    <w:p>
      <w:r>
        <w:rPr>
          <w:rFonts w:ascii="等线(中文正文)" w:hAnsi="等线(中文正文)" w:cs="等线(中文正文)" w:eastAsia="等线(中文正文)"/>
          <w:b w:val="false"/>
          <w:i w:val="false"/>
          <w:sz w:val="20"/>
        </w:rPr>
        <w:t/>
      </w:r>
    </w:p>
    <w:p>
      <w:pPr>
        <w:pStyle w:val="ab"/>
      </w:pPr>
      <w:r>
        <w:t>发言人1 问：地缘政治动荡对信用市场产生了哪些具体影响？</w:t>
      </w:r>
    </w:p>
    <w:p>
      <w:r>
        <w:rPr>
          <w:rFonts w:ascii="等线(中文正文)" w:hAnsi="等线(中文正文)" w:cs="等线(中文正文)" w:eastAsia="等线(中文正文)"/>
          <w:b w:val="false"/>
          <w:i w:val="false"/>
          <w:sz w:val="20"/>
        </w:rPr>
        <w:t>发言人1 答：地缘政治动荡在三月份之前导致信用市场表现较弱，尤其是投资级债券。若未来地缘政治风险缓解且利率回落，市场可能会重回年初的风险偏好提升模式。历史上类似情况发生在97年至98年及05年，当时经济健康，企业盈利好，资本开支扩张，但因动物精神（投资者热情和新债供应）导致信用利差走扩，信用产品跑输股票。</w:t>
      </w:r>
    </w:p>
    <w:p>
      <w:r>
        <w:rPr>
          <w:rFonts w:ascii="等线(中文正文)" w:hAnsi="等线(中文正文)" w:cs="等线(中文正文)" w:eastAsia="等线(中文正文)"/>
          <w:b w:val="false"/>
          <w:i w:val="false"/>
          <w:sz w:val="20"/>
        </w:rPr>
        <w:t/>
      </w:r>
    </w:p>
    <w:p>
      <w:pPr>
        <w:pStyle w:val="ab"/>
      </w:pPr>
      <w:r>
        <w:t>发言人1 问：零售私人信贷基金面临赎回压力时，资产管理公司采取了哪些应对措施？</w:t>
      </w:r>
    </w:p>
    <w:p>
      <w:r>
        <w:rPr>
          <w:rFonts w:ascii="等线(中文正文)" w:hAnsi="等线(中文正文)" w:cs="等线(中文正文)" w:eastAsia="等线(中文正文)"/>
          <w:b w:val="false"/>
          <w:i w:val="false"/>
          <w:sz w:val="20"/>
        </w:rPr>
        <w:t>发言人1 答：面对赎回压力，一些零售私人信贷基金启用赎回闸门（gate）以平滑赎回压力，并保护基金内投资人的利益。同时，这也为能提供多元化另类投资产品的公司带来了新的机会，吸引投资者调整资产配置。</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2026-04-21T15:17:59Z</dcterms:created>
  <dc:creator>Apache POI</dc:creator>
</cp:coreProperties>
</file>