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东方基金 丽泽街晚餐 260421_导读</w:t>
      </w:r>
    </w:p>
    <w:p>
      <w:pPr>
        <w:pStyle w:val="a0"/>
        <w:jc w:val="center"/>
      </w:pPr>
      <w:r>
        <w:t>2026年04月21日 23:09</w:t>
      </w:r>
    </w:p>
    <w:p>
      <w:pPr>
        <w:pStyle w:val="a7"/>
      </w:pPr>
      <w:r>
        <w:t>关键词</w:t>
      </w:r>
    </w:p>
    <w:p>
      <w:r>
        <w:rPr>
          <w:rFonts w:ascii="等线(中文正文)" w:hAnsi="等线(中文正文)" w:cs="等线(中文正文)" w:eastAsia="等线(中文正文)"/>
          <w:b w:val="false"/>
          <w:i w:val="false"/>
          <w:sz w:val="20"/>
        </w:rPr>
        <w:t xml:space="preserve">直播 东方基金 新能源车 固态电池 东方量化成长 中证2000 小微盘 专利到期 创新药 专精特新 PPI 融资资金 市盈率 PEG 政策红利 成长潜力 流动性 产业趋势 产业周期 并购重组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直播旨在为观众提供投资市场的风险提示和观点，强调直播内容仅供参考，不构成投资建议。莱莱特别介绍了“东方量化成长”基金，专注于小微盘股票投资。他详细解答了观众关于纽约金和互金单位的换算、创新药专利到期后的影响、服务业占比、PPI转正原因等问题，并讨论了小微盘股票市场的现状和未来趋势，指出尽管存在高波动性和流动性风险，但长期有投资价值。莱莱还提到了市场风格轮动现象，提醒投资者关注市场流动性和风格切换，强调考虑风险承受能力的重要性，并推荐关注东方基金以获取更多市场信息和产品详情。</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东方基金直播间风险提示与欢迎致辞</w:t>
      </w:r>
    </w:p>
    <w:p>
      <w:r>
        <w:rPr>
          <w:rFonts w:ascii="等线(中文正文)" w:hAnsi="等线(中文正文)" w:cs="等线(中文正文)" w:eastAsia="等线(中文正文)"/>
          <w:b w:val="false"/>
          <w:i w:val="false"/>
          <w:sz w:val="20"/>
        </w:rPr>
        <w:t>直播间开始前进行了风险提示，强调了观点的时效性和市场不确定性，同时欢迎了进入直播间的观众，提醒他们测试声音和画面，并告知直播内容仅供交流参考，不构成投资建议。</w:t>
      </w:r>
    </w:p>
    <w:p>
      <w:r>
        <w:rPr>
          <w:rFonts w:ascii="等线(中文正文)" w:hAnsi="等线(中文正文)" w:cs="等线(中文正文)" w:eastAsia="等线(中文正文)"/>
          <w:b w:val="false"/>
          <w:i w:val="false"/>
          <w:sz w:val="20"/>
        </w:rPr>
        <w:t/>
      </w:r>
    </w:p>
    <w:p>
      <w:pPr>
        <w:pStyle w:val="ab"/>
        <w:numPr>
          <w:numId w:val="2"/>
        </w:numPr>
      </w:pPr>
      <w:r>
        <w:t>00:51 东方基金直播：新能源车基金表现亮眼，邀请关注东方量化成长</w:t>
      </w:r>
    </w:p>
    <w:p>
      <w:r>
        <w:rPr>
          <w:rFonts w:ascii="等线(中文正文)" w:hAnsi="等线(中文正文)" w:cs="等线(中文正文)" w:eastAsia="等线(中文正文)"/>
          <w:b w:val="false"/>
          <w:i w:val="false"/>
          <w:sz w:val="20"/>
        </w:rPr>
        <w:t>直播中欢迎新老观众，并推荐了东方量化成长基金，强调其主动管理小微盘的特点。提及新能源车和固态电池表现较好，建议关注东方新能源汽车和东方汽车产业趋势基金，同时提醒观众领取自选福利包，及时跟踪产品业绩。</w:t>
      </w:r>
    </w:p>
    <w:p>
      <w:r>
        <w:rPr>
          <w:rFonts w:ascii="等线(中文正文)" w:hAnsi="等线(中文正文)" w:cs="等线(中文正文)" w:eastAsia="等线(中文正文)"/>
          <w:b w:val="false"/>
          <w:i w:val="false"/>
          <w:sz w:val="20"/>
        </w:rPr>
        <w:t/>
      </w:r>
    </w:p>
    <w:p>
      <w:pPr>
        <w:pStyle w:val="ab"/>
        <w:numPr>
          <w:numId w:val="3"/>
        </w:numPr>
      </w:pPr>
      <w:r>
        <w:t>02:05 直播问答：金单位换算、药企专利到期影响与经济趋势解析</w:t>
      </w:r>
    </w:p>
    <w:p>
      <w:r>
        <w:rPr>
          <w:rFonts w:ascii="等线(中文正文)" w:hAnsi="等线(中文正文)" w:cs="等线(中文正文)" w:eastAsia="等线(中文正文)"/>
          <w:b w:val="false"/>
          <w:i w:val="false"/>
          <w:sz w:val="20"/>
        </w:rPr>
        <w:t>直播中解答了关于金单位换算的公式，解释了创新药专利到期后对药企的影响，讨论了服务业在GDP中的占比提升空间，以及PPI转正的成本推动与需求拉动的混合驱动因素。</w:t>
      </w:r>
    </w:p>
    <w:p>
      <w:r>
        <w:rPr>
          <w:rFonts w:ascii="等线(中文正文)" w:hAnsi="等线(中文正文)" w:cs="等线(中文正文)" w:eastAsia="等线(中文正文)"/>
          <w:b w:val="false"/>
          <w:i w:val="false"/>
          <w:sz w:val="20"/>
        </w:rPr>
        <w:t/>
      </w:r>
    </w:p>
    <w:p>
      <w:pPr>
        <w:pStyle w:val="ab"/>
        <w:numPr>
          <w:numId w:val="4"/>
        </w:numPr>
      </w:pPr>
      <w:r>
        <w:t>07:20 揭秘小微盘：中证2000指数的潜力与表现</w:t>
      </w:r>
    </w:p>
    <w:p>
      <w:r>
        <w:rPr>
          <w:rFonts w:ascii="等线(中文正文)" w:hAnsi="等线(中文正文)" w:cs="等线(中文正文)" w:eastAsia="等线(中文正文)"/>
          <w:b w:val="false"/>
          <w:i w:val="false"/>
          <w:sz w:val="20"/>
        </w:rPr>
        <w:t>对话深入探讨了市场中较少被关注的小微盘股票，特别是中证2000指数，通过对比沪深300、中证500和中证1000指数的收益情况，展示了小微盘在当前市场环境下的表现与潜力，强调了其作为投资组合多样化选择的重要性。</w:t>
      </w:r>
    </w:p>
    <w:p>
      <w:r>
        <w:rPr>
          <w:rFonts w:ascii="等线(中文正文)" w:hAnsi="等线(中文正文)" w:cs="等线(中文正文)" w:eastAsia="等线(中文正文)"/>
          <w:b w:val="false"/>
          <w:i w:val="false"/>
          <w:sz w:val="20"/>
        </w:rPr>
        <w:t/>
      </w:r>
    </w:p>
    <w:p>
      <w:pPr>
        <w:pStyle w:val="ab"/>
        <w:numPr>
          <w:numId w:val="5"/>
        </w:numPr>
      </w:pPr>
      <w:r>
        <w:t>10:39 中小盘指数走强与市场资金结构变化分析</w:t>
      </w:r>
    </w:p>
    <w:p>
      <w:r>
        <w:rPr>
          <w:rFonts w:ascii="等线(中文正文)" w:hAnsi="等线(中文正文)" w:cs="等线(中文正文)" w:eastAsia="等线(中文正文)"/>
          <w:b w:val="false"/>
          <w:i w:val="false"/>
          <w:sz w:val="20"/>
        </w:rPr>
        <w:t>对话围绕中小盘风格集体走强现象展开，分析了融资资金偏好、专精特新政策红利释放及高成长性估值匹配三点原因，指出中证2000指数成分股特征与市场预期，强调了政策支持与成长潜力对小微盘指数的影响。</w:t>
      </w:r>
    </w:p>
    <w:p>
      <w:r>
        <w:rPr>
          <w:rFonts w:ascii="等线(中文正文)" w:hAnsi="等线(中文正文)" w:cs="等线(中文正文)" w:eastAsia="等线(中文正文)"/>
          <w:b w:val="false"/>
          <w:i w:val="false"/>
          <w:sz w:val="20"/>
        </w:rPr>
        <w:t/>
      </w:r>
    </w:p>
    <w:p>
      <w:pPr>
        <w:pStyle w:val="ab"/>
        <w:numPr>
          <w:numId w:val="6"/>
        </w:numPr>
      </w:pPr>
      <w:r>
        <w:t>15:23 小微盘投资：机遇与风险并存的双刃剑</w:t>
      </w:r>
    </w:p>
    <w:p>
      <w:r>
        <w:rPr>
          <w:rFonts w:ascii="等线(中文正文)" w:hAnsi="等线(中文正文)" w:cs="等线(中文正文)" w:eastAsia="等线(中文正文)"/>
          <w:b w:val="false"/>
          <w:i w:val="false"/>
          <w:sz w:val="20"/>
        </w:rPr>
        <w:t>对话深入探讨了小微盘投资的五大优点，包括高成长潜力、高股价弹性、政策与产业趋势直接受益、机构关注度低的预期差，以及作为组合增强器的作用。同时，也详细分析了其五大风险，如高波动性、流动性风险、信息不对称、抗风险能力弱和估值陷阱。最终指出，小微盘投资适合风险承受能力强、具备深度研究能力的投资者，普通投资者可通过指数基金或主动管理型基金进行分散投资。</w:t>
      </w:r>
    </w:p>
    <w:p>
      <w:r>
        <w:rPr>
          <w:rFonts w:ascii="等线(中文正文)" w:hAnsi="等线(中文正文)" w:cs="等线(中文正文)" w:eastAsia="等线(中文正文)"/>
          <w:b w:val="false"/>
          <w:i w:val="false"/>
          <w:sz w:val="20"/>
        </w:rPr>
        <w:t/>
      </w:r>
    </w:p>
    <w:p>
      <w:pPr>
        <w:pStyle w:val="ab"/>
        <w:numPr>
          <w:numId w:val="7"/>
        </w:numPr>
      </w:pPr>
      <w:r>
        <w:t>21:03 小微盘业绩优异背后：政策扶持与产业景气共振</w:t>
      </w:r>
    </w:p>
    <w:p>
      <w:r>
        <w:rPr>
          <w:rFonts w:ascii="等线(中文正文)" w:hAnsi="等线(中文正文)" w:cs="等线(中文正文)" w:eastAsia="等线(中文正文)"/>
          <w:b w:val="false"/>
          <w:i w:val="false"/>
          <w:sz w:val="20"/>
        </w:rPr>
        <w:t>对话详细解析了小微盘今年以来业绩优异的原因，包括宏观政策红利、产业周期上行、并购重组活跃及流动性宽松等四重因素的共振。政策面，2026年科技创新与产业升级为核心，专精特新中小企业获财政贴息、税收优惠等支持；产业方面，中证2000指数成分股聚焦高增长领域，业绩高增长有坚实产业逻辑支撑；并购重组政策宽松，激活小微盘外延式增长；流动性溢价与量化资金助推，A股微观结构为小微盘提供持续流动性支持。</w:t>
      </w:r>
    </w:p>
    <w:p>
      <w:r>
        <w:rPr>
          <w:rFonts w:ascii="等线(中文正文)" w:hAnsi="等线(中文正文)" w:cs="等线(中文正文)" w:eastAsia="等线(中文正文)"/>
          <w:b w:val="false"/>
          <w:i w:val="false"/>
          <w:sz w:val="20"/>
        </w:rPr>
        <w:t/>
      </w:r>
    </w:p>
    <w:p>
      <w:pPr>
        <w:pStyle w:val="ab"/>
        <w:numPr>
          <w:numId w:val="8"/>
        </w:numPr>
      </w:pPr>
      <w:r>
        <w:t>28:46 小微盘股成长空间与投资策略分析</w:t>
      </w:r>
    </w:p>
    <w:p>
      <w:r>
        <w:rPr>
          <w:rFonts w:ascii="等线(中文正文)" w:hAnsi="等线(中文正文)" w:cs="等线(中文正文)" w:eastAsia="等线(中文正文)"/>
          <w:b w:val="false"/>
          <w:i w:val="false"/>
          <w:sz w:val="20"/>
        </w:rPr>
        <w:t>对话深入探讨了小微盘股未来成长空间，指出其从估值驱动转向业绩驱动，成长空间取决于新质生产力落地质量、并购重组进度及硬科技赛道发展。分析了估值消化与业绩增速、并购重组、硬科技赛道、量化资金四个维度，强调了真正具备业绩高增、并购重组落地或处于硬科技风口的小微盘股有创新高的潜力。投资者需关注业绩驱动的结构性机会，警惕伪重组和高商誉风险，同时考虑量化资金的双刃剑作用。</w:t>
      </w:r>
    </w:p>
    <w:p>
      <w:r>
        <w:rPr>
          <w:rFonts w:ascii="等线(中文正文)" w:hAnsi="等线(中文正文)" w:cs="等线(中文正文)" w:eastAsia="等线(中文正文)"/>
          <w:b w:val="false"/>
          <w:i w:val="false"/>
          <w:sz w:val="20"/>
        </w:rPr>
        <w:t/>
      </w:r>
    </w:p>
    <w:p>
      <w:pPr>
        <w:pStyle w:val="ab"/>
        <w:numPr>
          <w:numId w:val="9"/>
        </w:numPr>
      </w:pPr>
      <w:r>
        <w:t>36:54 股债跷跷板效应与微盘大盘博弈分析</w:t>
      </w:r>
    </w:p>
    <w:p>
      <w:r>
        <w:rPr>
          <w:rFonts w:ascii="等线(中文正文)" w:hAnsi="等线(中文正文)" w:cs="等线(中文正文)" w:eastAsia="等线(中文正文)"/>
          <w:b w:val="false"/>
          <w:i w:val="false"/>
          <w:sz w:val="20"/>
        </w:rPr>
        <w:t>讨论了股债跷跷板效应，强调了微盘与大盘在存量资金博弈下的风格轮动现象，分析了经济复苏、政策刺激、机构行为和监管导向对市场风格的影响，指出2026年市场将呈现结构性共存特征，而非零和博弈，建议投资者关注东方基金直播间，了解小微盘相关内容，提醒投资需谨慎。</w:t>
      </w:r>
    </w:p>
    <w:p>
      <w:r>
        <w:rPr>
          <w:rFonts w:ascii="等线(中文正文)" w:hAnsi="等线(中文正文)" w:cs="等线(中文正文)" w:eastAsia="等线(中文正文)"/>
          <w:b w:val="false"/>
          <w:i w:val="false"/>
          <w:sz w:val="20"/>
        </w:rPr>
        <w:t/>
      </w:r>
    </w:p>
    <w:p>
      <w:pPr>
        <w:pStyle w:val="a7"/>
      </w:pPr>
      <w:r>
        <w:t>发言总结</w:t>
      </w:r>
    </w:p>
    <w:p>
      <w:pPr>
        <w:pStyle w:val="ab"/>
        <w:numPr>
          <w:numId w:val="10"/>
        </w:numPr>
      </w:pPr>
      <w:r>
        <w:t>发言人1</w:t>
      </w:r>
    </w:p>
    <w:p>
      <w:r>
        <w:rPr>
          <w:rFonts w:ascii="等线(中文正文)" w:hAnsi="等线(中文正文)" w:cs="等线(中文正文)" w:eastAsia="等线(中文正文)"/>
          <w:b w:val="false"/>
          <w:i w:val="false"/>
          <w:sz w:val="20"/>
        </w:rPr>
        <w:t>他在东方基金的直播间中，以亲切和热情的方式向观众介绍了小微盘投资的多个维度。他首先对直播间进行了简要的介绍，强调直播的目的在于沟通和交流，并提醒观众投资需谨慎。他详细说明了小微盘的概念，包括其成长潜力、高股价弹性以及政策支持等优点，同时也指出了其高波动性、流动性风险和信息不对称等潜在风险。他通过分析，指出小微盘虽然面临诸多挑战，但凭借其独特的市场定位和增长潜力，依然值得投资者关注和投资。他还提到，市场对小微盘的态度正逐渐转变，从过去的忽视到现在的重视，小微盘在未来可能扮演更重要的角色。最后，他呼吁投资者要理智投资，关注产品的特性，并根据自身的风险承受能力做出决策。通过此次直播，他为观众提供了一个全面而深入的小微盘投资视角，并鼓励大家共同学习和成长。</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问：纽约金和互金单位的换算公式是什么？</w:t>
      </w:r>
    </w:p>
    <w:p>
      <w:r>
        <w:rPr>
          <w:rFonts w:ascii="等线(中文正文)" w:hAnsi="等线(中文正文)" w:cs="等线(中文正文)" w:eastAsia="等线(中文正文)"/>
          <w:b w:val="false"/>
          <w:i w:val="false"/>
          <w:sz w:val="20"/>
        </w:rPr>
        <w:t>发言人1 答：现金的价格等于纽约金的价格乘以美元兑人民币汇率，然后再除以31.1034768（金衡盎司）。</w:t>
      </w:r>
    </w:p>
    <w:p>
      <w:r>
        <w:rPr>
          <w:rFonts w:ascii="等线(中文正文)" w:hAnsi="等线(中文正文)" w:cs="等线(中文正文)" w:eastAsia="等线(中文正文)"/>
          <w:b w:val="false"/>
          <w:i w:val="false"/>
          <w:sz w:val="20"/>
        </w:rPr>
        <w:t/>
      </w:r>
    </w:p>
    <w:p>
      <w:pPr>
        <w:pStyle w:val="ab"/>
      </w:pPr>
      <w:r>
        <w:t>发言人1 问：创新药专利到期后，估值的核心逻辑会发生什么样的变化？</w:t>
      </w:r>
    </w:p>
    <w:p>
      <w:r>
        <w:rPr>
          <w:rFonts w:ascii="等线(中文正文)" w:hAnsi="等线(中文正文)" w:cs="等线(中文正文)" w:eastAsia="等线(中文正文)"/>
          <w:b w:val="false"/>
          <w:i w:val="false"/>
          <w:sz w:val="20"/>
        </w:rPr>
        <w:t>发言人1 答：专利到期后，仿制药和生物类似药会上市，市场竞争格局恶化，市场份额下降，业绩承压，并可能出现杀估值现象。药企需要通过持续创新来应对这一变化。</w:t>
      </w:r>
    </w:p>
    <w:p>
      <w:r>
        <w:rPr>
          <w:rFonts w:ascii="等线(中文正文)" w:hAnsi="等线(中文正文)" w:cs="等线(中文正文)" w:eastAsia="等线(中文正文)"/>
          <w:b w:val="false"/>
          <w:i w:val="false"/>
          <w:sz w:val="20"/>
        </w:rPr>
        <w:t/>
      </w:r>
    </w:p>
    <w:p>
      <w:pPr>
        <w:pStyle w:val="ab"/>
      </w:pPr>
      <w:r>
        <w:t>发言人1 问：东方量化成长基金最近稳吗？</w:t>
      </w:r>
    </w:p>
    <w:p>
      <w:r>
        <w:rPr>
          <w:rFonts w:ascii="等线(中文正文)" w:hAnsi="等线(中文正文)" w:cs="等线(中文正文)" w:eastAsia="等线(中文正文)"/>
          <w:b w:val="false"/>
          <w:i w:val="false"/>
          <w:sz w:val="20"/>
        </w:rPr>
        <w:t>发言人1 答：可以点击购物车查看该基金的历史净值情况，以了解其近期表现和稳定性。</w:t>
      </w:r>
    </w:p>
    <w:p>
      <w:r>
        <w:rPr>
          <w:rFonts w:ascii="等线(中文正文)" w:hAnsi="等线(中文正文)" w:cs="等线(中文正文)" w:eastAsia="等线(中文正文)"/>
          <w:b w:val="false"/>
          <w:i w:val="false"/>
          <w:sz w:val="20"/>
        </w:rPr>
        <w:t/>
      </w:r>
    </w:p>
    <w:p>
      <w:pPr>
        <w:pStyle w:val="ab"/>
      </w:pPr>
      <w:r>
        <w:t>发言人1 问：专利到期药价是否会下降？</w:t>
      </w:r>
    </w:p>
    <w:p>
      <w:r>
        <w:rPr>
          <w:rFonts w:ascii="等线(中文正文)" w:hAnsi="等线(中文正文)" w:cs="等线(中文正文)" w:eastAsia="等线(中文正文)"/>
          <w:b w:val="false"/>
          <w:i w:val="false"/>
          <w:sz w:val="20"/>
        </w:rPr>
        <w:t>发言人1 答：市场竞争下，药企股价可能受影响，但药价是否会降取决于多种因素，每个药企可能有不同的决策。</w:t>
      </w:r>
    </w:p>
    <w:p>
      <w:r>
        <w:rPr>
          <w:rFonts w:ascii="等线(中文正文)" w:hAnsi="等线(中文正文)" w:cs="等线(中文正文)" w:eastAsia="等线(中文正文)"/>
          <w:b w:val="false"/>
          <w:i w:val="false"/>
          <w:sz w:val="20"/>
        </w:rPr>
        <w:t/>
      </w:r>
    </w:p>
    <w:p>
      <w:pPr>
        <w:pStyle w:val="ab"/>
      </w:pPr>
      <w:r>
        <w:t>发言人1 问：为什么创新药less new授权估值折现率远高于普通医药商业化的药品？</w:t>
      </w:r>
    </w:p>
    <w:p>
      <w:r>
        <w:rPr>
          <w:rFonts w:ascii="等线(中文正文)" w:hAnsi="等线(中文正文)" w:cs="等线(中文正文)" w:eastAsia="等线(中文正文)"/>
          <w:b w:val="false"/>
          <w:i w:val="false"/>
          <w:sz w:val="20"/>
        </w:rPr>
        <w:t>发言人1 答：普通医药商业化药品通常不需折现率计算估值，所以没有进行比较。对于具体原因，建议保有198小伙伴继续追问。</w:t>
      </w:r>
    </w:p>
    <w:p>
      <w:r>
        <w:rPr>
          <w:rFonts w:ascii="等线(中文正文)" w:hAnsi="等线(中文正文)" w:cs="等线(中文正文)" w:eastAsia="等线(中文正文)"/>
          <w:b w:val="false"/>
          <w:i w:val="false"/>
          <w:sz w:val="20"/>
        </w:rPr>
        <w:t/>
      </w:r>
    </w:p>
    <w:p>
      <w:pPr>
        <w:pStyle w:val="ab"/>
      </w:pPr>
      <w:r>
        <w:t>发言人1 问：服务业占比还能上升吗？</w:t>
      </w:r>
    </w:p>
    <w:p>
      <w:r>
        <w:rPr>
          <w:rFonts w:ascii="等线(中文正文)" w:hAnsi="等线(中文正文)" w:cs="等线(中文正文)" w:eastAsia="等线(中文正文)"/>
          <w:b w:val="false"/>
          <w:i w:val="false"/>
          <w:sz w:val="20"/>
        </w:rPr>
        <w:t>发言人1 答：目前中国服务业占比已达到57.7%，高于全球平均水平，但仍有一定提升空间，预计在未来中长期内将继续稳步上升。</w:t>
      </w:r>
    </w:p>
    <w:p>
      <w:r>
        <w:rPr>
          <w:rFonts w:ascii="等线(中文正文)" w:hAnsi="等线(中文正文)" w:cs="等线(中文正文)" w:eastAsia="等线(中文正文)"/>
          <w:b w:val="false"/>
          <w:i w:val="false"/>
          <w:sz w:val="20"/>
        </w:rPr>
        <w:t/>
      </w:r>
    </w:p>
    <w:p>
      <w:pPr>
        <w:pStyle w:val="ab"/>
      </w:pPr>
      <w:r>
        <w:t>发言人1 问：如何评价PPI转正更多是成本推动还是需求拉动？</w:t>
      </w:r>
    </w:p>
    <w:p>
      <w:r>
        <w:rPr>
          <w:rFonts w:ascii="等线(中文正文)" w:hAnsi="等线(中文正文)" w:cs="等线(中文正文)" w:eastAsia="等线(中文正文)"/>
          <w:b w:val="false"/>
          <w:i w:val="false"/>
          <w:sz w:val="20"/>
        </w:rPr>
        <w:t>发言人1 答：市场一致认为PPI转正主要是成本推动为主，需求拉动为辅的混合驱动。本轮PPI上升主要是由输入性成本冲击引起，尤其是原油价格上涨对石化产品链的影响显著。</w:t>
      </w:r>
    </w:p>
    <w:p>
      <w:r>
        <w:rPr>
          <w:rFonts w:ascii="等线(中文正文)" w:hAnsi="等线(中文正文)" w:cs="等线(中文正文)" w:eastAsia="等线(中文正文)"/>
          <w:b w:val="false"/>
          <w:i w:val="false"/>
          <w:sz w:val="20"/>
        </w:rPr>
        <w:t/>
      </w:r>
    </w:p>
    <w:p>
      <w:pPr>
        <w:pStyle w:val="ab"/>
      </w:pPr>
      <w:r>
        <w:t>发言人1 问：中证2000指数是如何选取样本股的？中证2000指数和其他几个主要指数的收益情况如何？</w:t>
      </w:r>
    </w:p>
    <w:p>
      <w:r>
        <w:rPr>
          <w:rFonts w:ascii="等线(中文正文)" w:hAnsi="等线(中文正文)" w:cs="等线(中文正文)" w:eastAsia="等线(中文正文)"/>
          <w:b w:val="false"/>
          <w:i w:val="false"/>
          <w:sz w:val="20"/>
        </w:rPr>
        <w:t>发言人1 答：中证2000指数是从沪深市场中选取市值规模较小且流动性比较好的2000只证券作为指数样本，反映了市场规模较小证券的市场的表现。它与沪深300、中证500、中证1000指数共同构成了中证指数规模系列，全面刻画了沪深市场不同市值规模上市公司证券的整体表现。截至上周五收盘，今年以来沪深300指数上涨了2.1%，中证500指数上涨了10.0%，中证1000指数上涨了39.38%，而中证2000指数涨幅为8.86%。中小盘风格获得了集体胜利，中小盘指数的走强体现了市场微观资金结构的变化。</w:t>
      </w:r>
    </w:p>
    <w:p>
      <w:r>
        <w:rPr>
          <w:rFonts w:ascii="等线(中文正文)" w:hAnsi="等线(中文正文)" w:cs="等线(中文正文)" w:eastAsia="等线(中文正文)"/>
          <w:b w:val="false"/>
          <w:i w:val="false"/>
          <w:sz w:val="20"/>
        </w:rPr>
        <w:t/>
      </w:r>
    </w:p>
    <w:p>
      <w:pPr>
        <w:pStyle w:val="ab"/>
      </w:pPr>
      <w:r>
        <w:t>发言人1 问：融资资金对中证2000指数成分股有什么偏好？</w:t>
      </w:r>
    </w:p>
    <w:p>
      <w:r>
        <w:rPr>
          <w:rFonts w:ascii="等线(中文正文)" w:hAnsi="等线(中文正文)" w:cs="等线(中文正文)" w:eastAsia="等线(中文正文)"/>
          <w:b w:val="false"/>
          <w:i w:val="false"/>
          <w:sz w:val="20"/>
        </w:rPr>
        <w:t>发言人1 答：融资资金更偏好市值较小、弹性更高的标的，而中证2000成分股平均流通市值为35亿元，且88%的成分股总市值在100亿元以下，恰好符合了杠杆资金的偏好。</w:t>
      </w:r>
    </w:p>
    <w:p>
      <w:r>
        <w:rPr>
          <w:rFonts w:ascii="等线(中文正文)" w:hAnsi="等线(中文正文)" w:cs="等线(中文正文)" w:eastAsia="等线(中文正文)"/>
          <w:b w:val="false"/>
          <w:i w:val="false"/>
          <w:sz w:val="20"/>
        </w:rPr>
        <w:t/>
      </w:r>
    </w:p>
    <w:p>
      <w:pPr>
        <w:pStyle w:val="ab"/>
      </w:pPr>
      <w:r>
        <w:t>发言人1 问：专精特新的政策红利如何影响中证2000指数？</w:t>
      </w:r>
    </w:p>
    <w:p>
      <w:r>
        <w:rPr>
          <w:rFonts w:ascii="等线(中文正文)" w:hAnsi="等线(中文正文)" w:cs="等线(中文正文)" w:eastAsia="等线(中文正文)"/>
          <w:b w:val="false"/>
          <w:i w:val="false"/>
          <w:sz w:val="20"/>
        </w:rPr>
        <w:t>发言人1 答：中证2000指数成分股中专精特新小巨人企业数量占比高达41.3%，这些企业受益于国家政策扶持，在高端制造、半导体、新能源等战略新兴产业中占据重要地位。2026年政策对科技创新和制造业升级的支持力度空前加大，为中小盘成长提供了良好政策环境。</w:t>
      </w:r>
    </w:p>
    <w:p>
      <w:r>
        <w:rPr>
          <w:rFonts w:ascii="等线(中文正文)" w:hAnsi="等线(中文正文)" w:cs="等线(中文正文)" w:eastAsia="等线(中文正文)"/>
          <w:b w:val="false"/>
          <w:i w:val="false"/>
          <w:sz w:val="20"/>
        </w:rPr>
        <w:t/>
      </w:r>
    </w:p>
    <w:p>
      <w:pPr>
        <w:pStyle w:val="ab"/>
      </w:pPr>
      <w:r>
        <w:t>发言人1 问：中证2000指数当前的估值匹配情况如何？</w:t>
      </w:r>
    </w:p>
    <w:p>
      <w:r>
        <w:rPr>
          <w:rFonts w:ascii="等线(中文正文)" w:hAnsi="等线(中文正文)" w:cs="等线(中文正文)" w:eastAsia="等线(中文正文)"/>
          <w:b w:val="false"/>
          <w:i w:val="false"/>
          <w:sz w:val="20"/>
        </w:rPr>
        <w:t>发言人1 答：尽管中证2000当前市盈率较高，但万德一致性预测显示其净利润两年复合增长率达47.87%，远超其他宽基指数。通过计算PEG（市盈率相对盈利增长比率）指标，目前中证2000的预测PG为1.39，这意味着市场认为其未来高增长能够消化目前较高的估值，但仍需关注安全边际较窄带来的风险。</w:t>
      </w:r>
    </w:p>
    <w:p>
      <w:r>
        <w:rPr>
          <w:rFonts w:ascii="等线(中文正文)" w:hAnsi="等线(中文正文)" w:cs="等线(中文正文)" w:eastAsia="等线(中文正文)"/>
          <w:b w:val="false"/>
          <w:i w:val="false"/>
          <w:sz w:val="20"/>
        </w:rPr>
        <w:t/>
      </w:r>
    </w:p>
    <w:p>
      <w:pPr>
        <w:pStyle w:val="ab"/>
      </w:pPr>
      <w:r>
        <w:t>发言人1 问：小微盘投资有哪些优点和风险？</w:t>
      </w:r>
    </w:p>
    <w:p>
      <w:r>
        <w:rPr>
          <w:rFonts w:ascii="等线(中文正文)" w:hAnsi="等线(中文正文)" w:cs="等线(中文正文)" w:eastAsia="等线(中文正文)"/>
          <w:b w:val="false"/>
          <w:i w:val="false"/>
          <w:sz w:val="20"/>
        </w:rPr>
        <w:t>发言人1 答：小微盘投资的优点包括高成长潜力、高股价弹性、政策与产业趋势直接受益、机构关注度低存在预期差，以及作为组合增强器提升潜在回报。然而，小微盘投资也存在显著的风险，如业绩波动大、市场风格偏好转换时可能面临较大回撤等。</w:t>
      </w:r>
    </w:p>
    <w:p>
      <w:r>
        <w:rPr>
          <w:rFonts w:ascii="等线(中文正文)" w:hAnsi="等线(中文正文)" w:cs="等线(中文正文)" w:eastAsia="等线(中文正文)"/>
          <w:b w:val="false"/>
          <w:i w:val="false"/>
          <w:sz w:val="20"/>
        </w:rPr>
        <w:t/>
      </w:r>
    </w:p>
    <w:p>
      <w:pPr>
        <w:pStyle w:val="ab"/>
      </w:pPr>
      <w:r>
        <w:t>发言人1 问：小微盘投资有哪些主要的风险点？</w:t>
      </w:r>
    </w:p>
    <w:p>
      <w:r>
        <w:rPr>
          <w:rFonts w:ascii="等线(中文正文)" w:hAnsi="等线(中文正文)" w:cs="等线(中文正文)" w:eastAsia="等线(中文正文)"/>
          <w:b w:val="false"/>
          <w:i w:val="false"/>
          <w:sz w:val="20"/>
        </w:rPr>
        <w:t>发言人1 答：小微盘投资存在五个主要风险点。首先，它具有高波动性和高风险性，对市场情绪和资金流向敏感，下跌时幅度剧烈，且波动率可能远高于大盘股。其次，流动性风险较大，小微盘成交额较低，在大额卖出时可能面临卖不出或大幅折价的困境。第三，信息不对称与研究难度大，由于微盘企业公开信息少、财报不透明、调研渠道有限，普通投资者难以全面了解公司真实经营情况，容易踩雷。第四，抗风险能力弱，小微盘企业的公司治理不完善、业务单一，对宏观经济下行、行业周期及客户依赖等抵御能力远低于大型企业，经营失败概率较高。最后，估值陷阱也是风险之一，看似低市盈率的股票可能反映的是业务不可持续性或隐藏的风险，单纯依靠市盈率、市净率等指标评估未来增长预期并不可靠。</w:t>
      </w:r>
    </w:p>
    <w:p>
      <w:r>
        <w:rPr>
          <w:rFonts w:ascii="等线(中文正文)" w:hAnsi="等线(中文正文)" w:cs="等线(中文正文)" w:eastAsia="等线(中文正文)"/>
          <w:b w:val="false"/>
          <w:i w:val="false"/>
          <w:sz w:val="20"/>
        </w:rPr>
        <w:t/>
      </w:r>
    </w:p>
    <w:p>
      <w:pPr>
        <w:pStyle w:val="ab"/>
      </w:pPr>
      <w:r>
        <w:t>发言人1 问：为什么小微盘在市场波动剧烈的情况下今年业绩还表现较好？</w:t>
      </w:r>
    </w:p>
    <w:p>
      <w:r>
        <w:rPr>
          <w:rFonts w:ascii="等线(中文正文)" w:hAnsi="等线(中文正文)" w:cs="等线(中文正文)" w:eastAsia="等线(中文正文)"/>
          <w:b w:val="false"/>
          <w:i w:val="false"/>
          <w:sz w:val="20"/>
        </w:rPr>
        <w:t>发言人1 答：今年小微盘尤其是中证2000指数表现优异，其原因主要有四点：一是受到宏观政策红利的影响，如财政贴息、税收优惠和研发补贴等支持，特别是专精特新中小企业得到了政策精准滴灌，利润表得到显著改善；二是产业周期上行，部分制造业的反内卷政策推动产能周期出清，供需格局改善并带动提价和利润率修复；三是并购重组活跃，2025年至2026年期间并购重组政策全面宽松，激活了中小市值公司通过收购优质资产实现业绩跨越式的增长；四是货币政策维持稳健宽松，利率下行降低了中小企业的融资成本并提升了成长资产的估值吸引力。</w:t>
      </w:r>
    </w:p>
    <w:p>
      <w:r>
        <w:rPr>
          <w:rFonts w:ascii="等线(中文正文)" w:hAnsi="等线(中文正文)" w:cs="等线(中文正文)" w:eastAsia="等线(中文正文)"/>
          <w:b w:val="false"/>
          <w:i w:val="false"/>
          <w:sz w:val="20"/>
        </w:rPr>
        <w:t/>
      </w:r>
    </w:p>
    <w:p>
      <w:pPr>
        <w:pStyle w:val="ab"/>
      </w:pPr>
      <w:r>
        <w:t>发言人1 问：从产业和业绩角度来看，小微盘表现如何？</w:t>
      </w:r>
    </w:p>
    <w:p>
      <w:r>
        <w:rPr>
          <w:rFonts w:ascii="等线(中文正文)" w:hAnsi="等线(中文正文)" w:cs="等线(中文正文)" w:eastAsia="等线(中文正文)"/>
          <w:b w:val="false"/>
          <w:i w:val="false"/>
          <w:sz w:val="20"/>
        </w:rPr>
        <w:t>发言人1 答：小微盘股高度聚焦国家转型的核心方向，业绩高增长具有坚实的产业逻辑支撑。中证2000成分股深度聚焦于机械、电子、基础化工、医药、计算机等行业，这些行业与AI算力、半导体、国产替代、人形机器人、创新药等热门赛道趋势同频共振，业绩数据验证了其高成长性。2025年年报显示，中证2000成分股净利润同比增长率中位数达到6.33%，头部企业的增速极快；2026年一季报净利润同比增长率均值高达266.76%，营收同比增长率中位数为7.99%，整体营收增速显著优于A股平均水平，显示出强劲的内生增长动力。</w:t>
      </w:r>
    </w:p>
    <w:p>
      <w:r>
        <w:rPr>
          <w:rFonts w:ascii="等线(中文正文)" w:hAnsi="等线(中文正文)" w:cs="等线(中文正文)" w:eastAsia="等线(中文正文)"/>
          <w:b w:val="false"/>
          <w:i w:val="false"/>
          <w:sz w:val="20"/>
        </w:rPr>
        <w:t/>
      </w:r>
    </w:p>
    <w:p>
      <w:pPr>
        <w:pStyle w:val="ab"/>
      </w:pPr>
      <w:r>
        <w:t>发言人1 问：小微盘股为什么今年以来业绩表现如此出色？投资小微盘股需要注意哪些因素？</w:t>
      </w:r>
    </w:p>
    <w:p>
      <w:r>
        <w:rPr>
          <w:rFonts w:ascii="等线(中文正文)" w:hAnsi="等线(中文正文)" w:cs="等线(中文正文)" w:eastAsia="等线(中文正文)"/>
          <w:b w:val="false"/>
          <w:i w:val="false"/>
          <w:sz w:val="20"/>
        </w:rPr>
        <w:t>发言人1 答：小微盘股业绩高增是由于政策扶持、产业景气及流动性宽松等因素共振的结果。同时，量化私募资金的大规模流入，尤其是指增策略和DMA产品将小微盘作为获取超额收益的基础底仓，进一步推升了股价。除了流动性外，盈利性也是重要因素。投资小微盘股需关注资金面（流动性）和基本面（公司盈利性），只有真正具备业绩高增、并购重组落地或处于硬科技风口的小微盘股才能持续创新高，从估值驱动转向业绩驱动。</w:t>
      </w:r>
    </w:p>
    <w:p>
      <w:r>
        <w:rPr>
          <w:rFonts w:ascii="等线(中文正文)" w:hAnsi="等线(中文正文)" w:cs="等线(中文正文)" w:eastAsia="等线(中文正文)"/>
          <w:b w:val="false"/>
          <w:i w:val="false"/>
          <w:sz w:val="20"/>
        </w:rPr>
        <w:t/>
      </w:r>
    </w:p>
    <w:p>
      <w:pPr>
        <w:pStyle w:val="ab"/>
      </w:pPr>
      <w:r>
        <w:t>发言人1 问：小微盘股未来的成长空间如何？后续小微盘股成长空间的关键观察点是什么？</w:t>
      </w:r>
    </w:p>
    <w:p>
      <w:r>
        <w:rPr>
          <w:rFonts w:ascii="等线(中文正文)" w:hAnsi="等线(中文正文)" w:cs="等线(中文正文)" w:eastAsia="等线(中文正文)"/>
          <w:b w:val="false"/>
          <w:i w:val="false"/>
          <w:sz w:val="20"/>
        </w:rPr>
        <w:t>发言人1 答：小微盘股在四月之后仍然具备结构性的成长空间，但驱动逻辑将从普涨的贝塔转向业绩的阿尔法，且波动率会显著放大。长期空间取决于新质生产力的落地质量，中期空间取决于并购重组的兑现进度，短期空间受制于估值消化与流动性博弈。关键观察点在于2020年中报披露后的净利润中位数增速是否能提升至15%至20%以上，若增速匹配头部企业的爆发力，则当前估值较为合理且仍有上行空间；反之，则可能面临杀估值的风险。</w:t>
      </w:r>
    </w:p>
    <w:p>
      <w:r>
        <w:rPr>
          <w:rFonts w:ascii="等线(中文正文)" w:hAnsi="等线(中文正文)" w:cs="等线(中文正文)" w:eastAsia="等线(中文正文)"/>
          <w:b w:val="false"/>
          <w:i w:val="false"/>
          <w:sz w:val="20"/>
        </w:rPr>
        <w:t/>
      </w:r>
    </w:p>
    <w:p>
      <w:pPr>
        <w:pStyle w:val="ab"/>
      </w:pPr>
      <w:r>
        <w:t>发言人1 问：并购重组对小微盘股的成长空间有何影响？硬科技赛道如何为小微盘股贡献成长空间？</w:t>
      </w:r>
    </w:p>
    <w:p>
      <w:r>
        <w:rPr>
          <w:rFonts w:ascii="等线(中文正文)" w:hAnsi="等线(中文正文)" w:cs="等线(中文正文)" w:eastAsia="等线(中文正文)"/>
          <w:b w:val="false"/>
          <w:i w:val="false"/>
          <w:sz w:val="20"/>
        </w:rPr>
        <w:t>发言人1 答：2026年是并购重组政策大年，为小微盘提供了外延式成长空间。并购重组政策支持硬科技并购，允许未盈利资产注入，将打开新的估值天花板。但需警惕伪重组和高商誉风险区，只有产生真实协同效应并实现利润增长的公司才具备持续成长空间。小微盘股成分股集中在新智生产力核心领域，随着地缘政治压力推动，这些细分领域的小微企业将获得更多订单和市场份额，未来3到5年内仍处于高景气扩张期。新兴赛道如人形机器人、低空经济AI应用等产业化初期，将带来爆发式增长。</w:t>
      </w:r>
    </w:p>
    <w:p>
      <w:r>
        <w:rPr>
          <w:rFonts w:ascii="等线(中文正文)" w:hAnsi="等线(中文正文)" w:cs="等线(中文正文)" w:eastAsia="等线(中文正文)"/>
          <w:b w:val="false"/>
          <w:i w:val="false"/>
          <w:sz w:val="20"/>
        </w:rPr>
        <w:t/>
      </w:r>
    </w:p>
    <w:p>
      <w:pPr>
        <w:pStyle w:val="ab"/>
      </w:pPr>
      <w:r>
        <w:t>发言人1 问：估值消化与业绩增速之间的关系是什么？</w:t>
      </w:r>
    </w:p>
    <w:p>
      <w:r>
        <w:rPr>
          <w:rFonts w:ascii="等线(中文正文)" w:hAnsi="等线(中文正文)" w:cs="等线(中文正文)" w:eastAsia="等线(中文正文)"/>
          <w:b w:val="false"/>
          <w:i w:val="false"/>
          <w:sz w:val="20"/>
        </w:rPr>
        <w:t>发言人1 答：中证2000指数当前PE高达161倍，预测PEG为1.39，这意味着市场定价的核心逻辑是高增长消化高估值。若2026年净利润增速能维持在40%至50%之间，那么当前高估值将在1到2年内通过业绩增长逐步得到消化。</w:t>
      </w:r>
    </w:p>
    <w:p>
      <w:r>
        <w:rPr>
          <w:rFonts w:ascii="等线(中文正文)" w:hAnsi="等线(中文正文)" w:cs="等线(中文正文)" w:eastAsia="等线(中文正文)"/>
          <w:b w:val="false"/>
          <w:i w:val="false"/>
          <w:sz w:val="20"/>
        </w:rPr>
        <w:t/>
      </w:r>
    </w:p>
    <w:p>
      <w:pPr>
        <w:pStyle w:val="ab"/>
      </w:pPr>
      <w:r>
        <w:t>发言人1 问：量化资金对小微盘股的影响是什么？</w:t>
      </w:r>
    </w:p>
    <w:p>
      <w:r>
        <w:rPr>
          <w:rFonts w:ascii="等线(中文正文)" w:hAnsi="等线(中文正文)" w:cs="等线(中文正文)" w:eastAsia="等线(中文正文)"/>
          <w:b w:val="false"/>
          <w:i w:val="false"/>
          <w:sz w:val="20"/>
        </w:rPr>
        <w:t>发言人1 答：量化私募规模已超22万亿，其中指增策略偏好小微盘以获取超额收益。在成交量维持万亿以上且风格不极端切换至大盘蓝筹时，量化资金持续配置将为小微盘提供流动性支撑，但也会放大其波动性，对投资者持仓定力提出更高要求。如果宏观经济强复苏或出现超级大盘股主线，资金可能会从小微盘流出，导致阶段性调整。</w:t>
      </w:r>
    </w:p>
    <w:p>
      <w:r>
        <w:rPr>
          <w:rFonts w:ascii="等线(中文正文)" w:hAnsi="等线(中文正文)" w:cs="等线(中文正文)" w:eastAsia="等线(中文正文)"/>
          <w:b w:val="false"/>
          <w:i w:val="false"/>
          <w:sz w:val="20"/>
        </w:rPr>
        <w:t/>
      </w:r>
    </w:p>
    <w:p>
      <w:pPr>
        <w:pStyle w:val="ab"/>
      </w:pPr>
      <w:r>
        <w:t>发言人1 问：微盘和大盘之间是否存在跷跷板效应？当前市场环境下的跷跷板效应有何新特征？</w:t>
      </w:r>
    </w:p>
    <w:p>
      <w:r>
        <w:rPr>
          <w:rFonts w:ascii="等线(中文正文)" w:hAnsi="等线(中文正文)" w:cs="等线(中文正文)" w:eastAsia="等线(中文正文)"/>
          <w:b w:val="false"/>
          <w:i w:val="false"/>
          <w:sz w:val="20"/>
        </w:rPr>
        <w:t>发言人1 答：微盘和大盘之间确实存在显著的跷跷板效应，这种效应并非简单的你涨我跌，而是在存量资金博弈下的一种风格轮动现象。当前市场环境下，这种效应表现得更加复杂，主要成因是存量博弈与风险偏好互斥。2026年的市场环境使得跷跷板效应不再是零和博弈，而是呈现出新的结构性特征，即从全面对立到结构性共存。沪深300中的科技成长股与中证2000中的部分科技小票可能会同涨，因为他们共享心智生产力的产业逻辑。</w:t>
      </w:r>
    </w:p>
    <w:p>
      <w:r>
        <w:rPr>
          <w:rFonts w:ascii="等线(中文正文)" w:hAnsi="等线(中文正文)" w:cs="等线(中文正文)" w:eastAsia="等线(中文正文)"/>
          <w:b w:val="false"/>
          <w:i w:val="false"/>
          <w:sz w:val="20"/>
        </w:rPr>
        <w:t/>
      </w:r>
    </w:p>
    <w:p>
      <w:pPr>
        <w:pStyle w:val="ab"/>
      </w:pPr>
      <w:r>
        <w:t>发言人1 问：跷跷板效应的本质是什么？</w:t>
      </w:r>
    </w:p>
    <w:p>
      <w:r>
        <w:rPr>
          <w:rFonts w:ascii="等线(中文正文)" w:hAnsi="等线(中文正文)" w:cs="等线(中文正文)" w:eastAsia="等线(中文正文)"/>
          <w:b w:val="false"/>
          <w:i w:val="false"/>
          <w:sz w:val="20"/>
        </w:rPr>
        <w:t>发言人1 答：跷跷板效应的本质是资金在不同风险收益资产之间的快速切换。例如，在市场成交量不足时，增量资金有限地拉升大盘股，导致中小盘流动性减少并引发小盘股下跌；反之，当市值风险偏好提升时，活跃资金更倾向于流向小微盘股，使大盘股持续下跌。</w:t>
      </w:r>
    </w:p>
    <w:p>
      <w:r>
        <w:rPr>
          <w:rFonts w:ascii="等线(中文正文)" w:hAnsi="等线(中文正文)" w:cs="等线(中文正文)" w:eastAsia="等线(中文正文)"/>
          <w:b w:val="false"/>
          <w:i w:val="false"/>
          <w:sz w:val="20"/>
        </w:rPr>
        <w:t/>
      </w:r>
    </w:p>
    <w:p>
      <w:pPr>
        <w:pStyle w:val="ab"/>
      </w:pPr>
      <w:r>
        <w:t>发言人1 问：经济复苏和政策刺激阶段，大盘与小盘股的表现如何？</w:t>
      </w:r>
    </w:p>
    <w:p>
      <w:r>
        <w:rPr>
          <w:rFonts w:ascii="等线(中文正文)" w:hAnsi="等线(中文正文)" w:cs="等线(中文正文)" w:eastAsia="等线(中文正文)"/>
          <w:b w:val="false"/>
          <w:i w:val="false"/>
          <w:sz w:val="20"/>
        </w:rPr>
        <w:t>发言人1 答：在经济强复苏和政策强刺激预期阶段，顺周期低估值的大盘蓝筹股通常会上涨，而小盘股和小微盘股表现不佳。相反，在经济弱复苏转型攻坚期，大盘股业绩弹性不足，资金转向炒作新制生产力、并购重组、科技成长等概念，这时小微盘股可能会涨而大盘股跌。</w:t>
      </w:r>
    </w:p>
    <w:p>
      <w:r>
        <w:rPr>
          <w:rFonts w:ascii="等线(中文正文)" w:hAnsi="等线(中文正文)" w:cs="等线(中文正文)" w:eastAsia="等线(中文正文)"/>
          <w:b w:val="false"/>
          <w:i w:val="false"/>
          <w:sz w:val="20"/>
        </w:rPr>
        <w:t/>
      </w:r>
    </w:p>
    <w:p>
      <w:pPr>
        <w:pStyle w:val="ab"/>
      </w:pPr>
      <w:r>
        <w:t>发言人1 问：真正的跷跷板体现在哪些资产之间？</w:t>
      </w:r>
    </w:p>
    <w:p>
      <w:r>
        <w:rPr>
          <w:rFonts w:ascii="等线(中文正文)" w:hAnsi="等线(中文正文)" w:cs="等线(中文正文)" w:eastAsia="等线(中文正文)"/>
          <w:b w:val="false"/>
          <w:i w:val="false"/>
          <w:sz w:val="20"/>
        </w:rPr>
        <w:t>发言人1 答：真正的跷跷板更多体现在高股息的红利大盘股与高弹性的题材小微盘股之间。市场追求确定性、避险时，红利大盘股表现较好；追求高赔率进攻时，题材小盘股表现更优。在当前宏观弱复苏、流动性合理充裕的背景下，市场预计将维持轮动快、波动大的震荡格局。</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2026-04-21T15:17:53Z</dcterms:created>
  <dc:creator>Apache POI</dc:creator>
</cp:coreProperties>
</file>