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若油价见顶，大类资产如何演绎定价 260420_导读</w:t>
      </w:r>
    </w:p>
    <w:p>
      <w:pPr>
        <w:pStyle w:val="a0"/>
        <w:jc w:val="center"/>
      </w:pPr>
      <w:r>
        <w:t>2026年04月21日 08:43</w:t>
      </w:r>
    </w:p>
    <w:p>
      <w:pPr>
        <w:pStyle w:val="a7"/>
      </w:pPr>
      <w:r>
        <w:t>全文摘要</w:t>
      </w:r>
    </w:p>
    <w:p>
      <w:r>
        <w:rPr>
          <w:rFonts w:ascii="等线(中文正文)" w:hAnsi="等线(中文正文)" w:cs="等线(中文正文)" w:eastAsia="等线(中文正文)"/>
          <w:b w:val="false"/>
          <w:i w:val="false"/>
          <w:sz w:val="20"/>
        </w:rPr>
        <w:t>报告深入探讨了当前全球资本市场在地缘政治紧张局势加剧背景下的表现与配置策略，尤其关注了油价见顶假设下的市场动态及历史地缘冲突对大类资产的影响。分析了美伊冲突等情境下权益市场、美元、黄金、工业金属及能源品的走势，强调了黄金作为避险资产的潜力。此外，报告还聚焦于A股的结构性投资机会，特别是储能、锂电、AI领域，并预测了黄金市场的未来。最后，指出全球资金流向变化，避险和另类资产成为新去向。整体上，报告强调了动荡局势下有效资产配置以应对市场不确定性的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动荡局势下的资产配置策略</w:t>
      </w:r>
    </w:p>
    <w:p>
      <w:r>
        <w:rPr>
          <w:rFonts w:ascii="等线(中文正文)" w:hAnsi="等线(中文正文)" w:cs="等线(中文正文)" w:eastAsia="等线(中文正文)"/>
          <w:b w:val="false"/>
          <w:i w:val="false"/>
          <w:sz w:val="20"/>
        </w:rPr>
        <w:t>在多事之秋的四月，全球资本市场的避险情绪和博弈加剧。报告分析了油价见顶后大类资产的走势，提出在动荡局势下，投资者应关注A股的结构性配置，特别是储能锂电、国产AIDC、海外算力链及AI短剧漫剧等高景气领域。黄金在磨顶过程中中长期涨幅可观，而美元整体相关性有限。权益市场最终都会反弹，但磨顶反弹需预防假突破。</w:t>
      </w:r>
    </w:p>
    <w:p>
      <w:r>
        <w:rPr>
          <w:rFonts w:ascii="等线(中文正文)" w:hAnsi="等线(中文正文)" w:cs="等线(中文正文)" w:eastAsia="等线(中文正文)"/>
          <w:b w:val="false"/>
          <w:i w:val="false"/>
          <w:sz w:val="20"/>
        </w:rPr>
        <w:t/>
      </w:r>
    </w:p>
    <w:p>
      <w:pPr>
        <w:pStyle w:val="ab"/>
        <w:numPr>
          <w:numId w:val="2"/>
        </w:numPr>
      </w:pPr>
      <w:r>
        <w:t>01:58 美伊冲突与黄金、原油市场波动分析</w:t>
      </w:r>
    </w:p>
    <w:p>
      <w:r>
        <w:rPr>
          <w:rFonts w:ascii="等线(中文正文)" w:hAnsi="等线(中文正文)" w:cs="等线(中文正文)" w:eastAsia="等线(中文正文)"/>
          <w:b w:val="false"/>
          <w:i w:val="false"/>
          <w:sz w:val="20"/>
        </w:rPr>
        <w:t>对话讨论了美伊冲突后的市场反应，特别是黄金、原油和加密货币的价格波动。指出黄金长期看涨逻辑因石油美元霸权衰落而加强，美伊冲突导致市场情绪和资产价格剧烈波动，投资者需关注黄金、原油及加密货币走势以评估市场情绪和流动性。</w:t>
      </w:r>
    </w:p>
    <w:p>
      <w:r>
        <w:rPr>
          <w:rFonts w:ascii="等线(中文正文)" w:hAnsi="等线(中文正文)" w:cs="等线(中文正文)" w:eastAsia="等线(中文正文)"/>
          <w:b w:val="false"/>
          <w:i w:val="false"/>
          <w:sz w:val="20"/>
        </w:rPr>
        <w:t/>
      </w:r>
    </w:p>
    <w:p>
      <w:pPr>
        <w:pStyle w:val="ab"/>
        <w:numPr>
          <w:numId w:val="3"/>
        </w:numPr>
      </w:pPr>
      <w:r>
        <w:t>05:00 油价见顶后的资产表现与历史战争复盘</w:t>
      </w:r>
    </w:p>
    <w:p>
      <w:r>
        <w:rPr>
          <w:rFonts w:ascii="等线(中文正文)" w:hAnsi="等线(中文正文)" w:cs="等线(中文正文)" w:eastAsia="等线(中文正文)"/>
          <w:b w:val="false"/>
          <w:i w:val="false"/>
          <w:sz w:val="20"/>
        </w:rPr>
        <w:t>讨论了油价见顶后权益市场的两种演绎路径，通过复盘历史五次重大地缘战争中油价与股市的关系，指出高油价导致通胀、侵蚀企业利润并引发流动性收紧，但美股最终均实现反弹。强调CPI回落才是股市触底反弹的关键信号。同时，提及1999-2000年科索沃战争期间，美联储前置加息与互联网科技革命对冲了高油价的负面影响，为当前AI产业趋势提供借鉴。最后，分析了美元指数与黄金在不同油价走势下的表现，认为黄金在油价磨顶滞胀预期增强时有极高确定性的中长期表现。</w:t>
      </w:r>
    </w:p>
    <w:p>
      <w:r>
        <w:rPr>
          <w:rFonts w:ascii="等线(中文正文)" w:hAnsi="等线(中文正文)" w:cs="等线(中文正文)" w:eastAsia="等线(中文正文)"/>
          <w:b w:val="false"/>
          <w:i w:val="false"/>
          <w:sz w:val="20"/>
        </w:rPr>
        <w:t/>
      </w:r>
    </w:p>
    <w:p>
      <w:pPr>
        <w:pStyle w:val="ab"/>
        <w:numPr>
          <w:numId w:val="4"/>
        </w:numPr>
      </w:pPr>
      <w:r>
        <w:t>07:33 工业金属与能源品价格波动及逆周期调控研究</w:t>
      </w:r>
    </w:p>
    <w:p>
      <w:r>
        <w:rPr>
          <w:rFonts w:ascii="等线(中文正文)" w:hAnsi="等线(中文正文)" w:cs="等线(中文正文)" w:eastAsia="等线(中文正文)"/>
          <w:b w:val="false"/>
          <w:i w:val="false"/>
          <w:sz w:val="20"/>
        </w:rPr>
        <w:t>讨论了铜价在不同经济周期下的波动特性，以及LNG价格与油价的强相关性。分析了发达经济体在战争后的逆周期调控策略，特别是美联储在不同经济背景下货币政策的调整，强调了产业和能源政策转向的重要性。总结了高油价高通胀背景下的先加后降路径，以及油价快速回落时直接降息的应对策略。</w:t>
      </w:r>
    </w:p>
    <w:p>
      <w:r>
        <w:rPr>
          <w:rFonts w:ascii="等线(中文正文)" w:hAnsi="等线(中文正文)" w:cs="等线(中文正文)" w:eastAsia="等线(中文正文)"/>
          <w:b w:val="false"/>
          <w:i w:val="false"/>
          <w:sz w:val="20"/>
        </w:rPr>
        <w:t/>
      </w:r>
    </w:p>
    <w:p>
      <w:pPr>
        <w:pStyle w:val="ab"/>
        <w:numPr>
          <w:numId w:val="5"/>
        </w:numPr>
      </w:pPr>
      <w:r>
        <w:t>09:44 全球资产修复分化与黄金、工业金属前景展望</w:t>
      </w:r>
    </w:p>
    <w:p>
      <w:r>
        <w:rPr>
          <w:rFonts w:ascii="等线(中文正文)" w:hAnsi="等线(中文正文)" w:cs="等线(中文正文)" w:eastAsia="等线(中文正文)"/>
          <w:b w:val="false"/>
          <w:i w:val="false"/>
          <w:sz w:val="20"/>
        </w:rPr>
        <w:t>讨论了自冲突以来全球资产修复的分化情况，指出美股、日经225等已完全收复跌幅，而上证指数、黄金等尚未回血。特别强调了黄金在中长期的强逻辑，认为其上涨动能正在重新积蓄，预计黄金价格将触达新高。同时，对铝和锂的景气度持乐观态度，认为供给端减弱与需求复苏将带来配置机会。</w:t>
      </w:r>
    </w:p>
    <w:p>
      <w:r>
        <w:rPr>
          <w:rFonts w:ascii="等线(中文正文)" w:hAnsi="等线(中文正文)" w:cs="等线(中文正文)" w:eastAsia="等线(中文正文)"/>
          <w:b w:val="false"/>
          <w:i w:val="false"/>
          <w:sz w:val="20"/>
        </w:rPr>
        <w:t/>
      </w:r>
    </w:p>
    <w:p>
      <w:pPr>
        <w:pStyle w:val="ab"/>
        <w:numPr>
          <w:numId w:val="6"/>
        </w:numPr>
      </w:pPr>
      <w:r>
        <w:t>14:29 锂铜市场分析与全球资金流向</w:t>
      </w:r>
    </w:p>
    <w:p>
      <w:r>
        <w:rPr>
          <w:rFonts w:ascii="等线(中文正文)" w:hAnsi="等线(中文正文)" w:cs="等线(中文正文)" w:eastAsia="等线(中文正文)"/>
          <w:b w:val="false"/>
          <w:i w:val="false"/>
          <w:sz w:val="20"/>
        </w:rPr>
        <w:t>讨论了锂矿供给有限、储能需求超预期及铜价调整；北向资金活跃，南向资金流入港股；黄金与加密货币成为避险资产，外资从A股港股流出转向另类投资。</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在电话会议中与投资者分享了对全球资本市场在动荡四月中的深刻见解，尤其关注了避险情绪与博弈加剧的环境。报告重点分析了在油价见顶情景下大类资产的潜在表现，强调了黄金和特定股市板块（如A股的储能、锂电、国产AI与算力链，以及AI短剧漫剧）在地缘政治冲突中的投资价值。他回顾了历史地缘战争对油价及资产价格的影响，探讨了政策应对与逆周期调控策略，并对黄金、工业金属（铝、镍、锂）的未来趋势进行了预测。此外，他指出全球资金流向正向避险和另类资产（如黄金、加密货币）转移，旨在为投资者提供在当前复杂市场环境下进行资产配置的策略和建议。</w:t>
      </w:r>
    </w:p>
    <w:p>
      <w:r>
        <w:rPr>
          <w:rFonts w:ascii="等线(中文正文)" w:hAnsi="等线(中文正文)" w:cs="等线(中文正文)" w:eastAsia="等线(中文正文)"/>
          <w:b w:val="false"/>
          <w:i w:val="false"/>
          <w:sz w:val="20"/>
        </w:rPr>
        <w:t/>
      </w:r>
    </w:p>
    <w:p>
      <w:pPr>
        <w:pStyle w:val="a7"/>
      </w:pPr>
      <w:r>
        <w:t>要点回顾</w:t>
      </w:r>
    </w:p>
    <w:p>
      <w:pPr>
        <w:pStyle w:val="ab"/>
      </w:pPr>
      <w:r>
        <w:t>在当前动荡的局势下，我们的钱应该配置在哪些资产上？</w:t>
      </w:r>
    </w:p>
    <w:p>
      <w:r>
        <w:rPr>
          <w:rFonts w:ascii="等线(中文正文)" w:hAnsi="等线(中文正文)" w:cs="等线(中文正文)" w:eastAsia="等线(中文正文)"/>
          <w:b w:val="false"/>
          <w:i w:val="false"/>
          <w:sz w:val="20"/>
        </w:rPr>
        <w:t>发言人1：在当前局势下，报告的核心观点是，在观察到油价出现见顶迹象后，各类资产将有不同的演绎路径。权益市场最终都会反弹，但磨顶时反弹需更长时间且需警惕假突破。美元整体相关性有限，而黄金在油价高位磨顶阶段具有可观的中长期涨幅。对于当下配置，我们坚持A股结构比仓位更重要的观点，并强烈建议围绕储能锂电、国产AIDC、海外算力链以及独立景气的AI短剧漫剧这四条高景气线索进行配置。</w:t>
      </w:r>
    </w:p>
    <w:p>
      <w:r>
        <w:rPr>
          <w:rFonts w:ascii="等线(中文正文)" w:hAnsi="等线(中文正文)" w:cs="等线(中文正文)" w:eastAsia="等线(中文正文)"/>
          <w:b w:val="false"/>
          <w:i w:val="false"/>
          <w:sz w:val="20"/>
        </w:rPr>
        <w:t/>
      </w:r>
    </w:p>
    <w:p>
      <w:pPr>
        <w:pStyle w:val="ab"/>
      </w:pPr>
      <w:r>
        <w:t>美伊冲突对黄金的影响如何？当前美伊冲突的进展如何？</w:t>
      </w:r>
    </w:p>
    <w:p>
      <w:r>
        <w:rPr>
          <w:rFonts w:ascii="等线(中文正文)" w:hAnsi="等线(中文正文)" w:cs="等线(中文正文)" w:eastAsia="等线(中文正文)"/>
          <w:b w:val="false"/>
          <w:i w:val="false"/>
          <w:sz w:val="20"/>
        </w:rPr>
        <w:t>发言人1：美伊冲突之后，黄金的中长期看多逻辑进一步强化。随着石油美元霸权衰落，黄金相对于美元可能会呈现长期指数型上涨。美伊冲突局势经历了多次反复，从以色列和黎巴嫩的停火协议生效到伊朗外长宣布霍尔木兹海峡开放，再到美国声称伊朗同意不再封锁海峡，但伊朗伊斯兰革命卫队对此表示不满并恢复了对海峡的控制，导致地区紧张度大幅回升。</w:t>
      </w:r>
    </w:p>
    <w:p>
      <w:r>
        <w:rPr>
          <w:rFonts w:ascii="等线(中文正文)" w:hAnsi="等线(中文正文)" w:cs="等线(中文正文)" w:eastAsia="等线(中文正文)"/>
          <w:b w:val="false"/>
          <w:i w:val="false"/>
          <w:sz w:val="20"/>
        </w:rPr>
        <w:t/>
      </w:r>
    </w:p>
    <w:p>
      <w:pPr>
        <w:pStyle w:val="ab"/>
      </w:pPr>
      <w:r>
        <w:t>近期油价和其他大类资产的变化情况如何？</w:t>
      </w:r>
    </w:p>
    <w:p>
      <w:r>
        <w:rPr>
          <w:rFonts w:ascii="等线(中文正文)" w:hAnsi="等线(中文正文)" w:cs="等线(中文正文)" w:eastAsia="等线(中文正文)"/>
          <w:b w:val="false"/>
          <w:i w:val="false"/>
          <w:sz w:val="20"/>
        </w:rPr>
        <w:t>发言人1：在过去一周，受美伊冲突局势波动影响，油价剧烈波动，布伦特和WTI期货价格在消息发布后一度暴跌，但在周末利空消息得到证实时又进行了反向操作。市场对利空消息钝化，对利好消息敏感，这对风险资产构成利好。同时，我们也关注到国际黄金、加密货币如比特币和以太坊等走势，它们能反映市场情绪和流动性。</w:t>
      </w:r>
    </w:p>
    <w:p>
      <w:r>
        <w:rPr>
          <w:rFonts w:ascii="等线(中文正文)" w:hAnsi="等线(中文正文)" w:cs="等线(中文正文)" w:eastAsia="等线(中文正文)"/>
          <w:b w:val="false"/>
          <w:i w:val="false"/>
          <w:sz w:val="20"/>
        </w:rPr>
        <w:t/>
      </w:r>
    </w:p>
    <w:p>
      <w:pPr>
        <w:pStyle w:val="ab"/>
      </w:pPr>
      <w:r>
        <w:t>面对油价见顶，大类资产有哪两种可能的演绎路径？</w:t>
      </w:r>
    </w:p>
    <w:p>
      <w:r>
        <w:rPr>
          <w:rFonts w:ascii="等线(中文正文)" w:hAnsi="等线(中文正文)" w:cs="等线(中文正文)" w:eastAsia="等线(中文正文)"/>
          <w:b w:val="false"/>
          <w:i w:val="false"/>
          <w:sz w:val="20"/>
        </w:rPr>
        <w:t>发言人1：当油价见顶后，大类资产可能有两种演绎路径：一种是类似海湾战争和俄乌战争，油价在短期脉冲后迅速回落至战前水平；另一种是如伊朗革命、两伊战争及科索沃战争，油价在高位维持较长时间的磨顶状态。无论哪种情况，最终权益市场都会走出反弹走势，因为高油价导致的通胀上升会侵蚀企业利润，并引发流动性收紧，而CPI何时回落是基本面改善和股市触底反弹的核心信号。</w:t>
      </w:r>
    </w:p>
    <w:p>
      <w:r>
        <w:rPr>
          <w:rFonts w:ascii="等线(中文正文)" w:hAnsi="等线(中文正文)" w:cs="等线(中文正文)" w:eastAsia="等线(中文正文)"/>
          <w:b w:val="false"/>
          <w:i w:val="false"/>
          <w:sz w:val="20"/>
        </w:rPr>
        <w:t/>
      </w:r>
    </w:p>
    <w:p>
      <w:pPr>
        <w:pStyle w:val="ab"/>
      </w:pPr>
      <w:r>
        <w:t>从历史地缘战争案例中，对当前环境下黄金的表现有何借鉴意义？</w:t>
      </w:r>
    </w:p>
    <w:p>
      <w:r>
        <w:rPr>
          <w:rFonts w:ascii="等线(中文正文)" w:hAnsi="等线(中文正文)" w:cs="等线(中文正文)" w:eastAsia="等线(中文正文)"/>
          <w:b w:val="false"/>
          <w:i w:val="false"/>
          <w:sz w:val="20"/>
        </w:rPr>
        <w:t>发言人1：历史复盘显示，在油价磨顶滞胀预期增强时，黄金的中长期表现具有高确定性，涨幅会很大。即使在油价快速下跌时，黄金也能较快回补跌幅。因此，我们对黄金持有信心，并已在之前的报告中推演了黄金在美伊冲突之后的四种走势。</w:t>
      </w:r>
    </w:p>
    <w:p>
      <w:r>
        <w:rPr>
          <w:rFonts w:ascii="等线(中文正文)" w:hAnsi="等线(中文正文)" w:cs="等线(中文正文)" w:eastAsia="等线(中文正文)"/>
          <w:b w:val="false"/>
          <w:i w:val="false"/>
          <w:sz w:val="20"/>
        </w:rPr>
        <w:t/>
      </w:r>
    </w:p>
    <w:p>
      <w:pPr>
        <w:pStyle w:val="ab"/>
      </w:pPr>
      <w:r>
        <w:t>在工业金属方面，比如铜价和石油危机的关系是怎样的？关于铜价走势的判断是怎样的？</w:t>
      </w:r>
    </w:p>
    <w:p>
      <w:r>
        <w:rPr>
          <w:rFonts w:ascii="等线(中文正文)" w:hAnsi="等线(中文正文)" w:cs="等线(中文正文)" w:eastAsia="等线(中文正文)"/>
          <w:b w:val="false"/>
          <w:i w:val="false"/>
          <w:sz w:val="20"/>
        </w:rPr>
        <w:t>发言人1：如果铜价呈现磨顶形态，初期会因通胀预期上涨，随后可能因经济衰退导致需求萎缩而下跌。而快速下跌形态下，铜价会在经济复苏明确后出现修复上涨。能源品如液化天然气（LNG）的价格走势与油价高度相关，油价磨顶时LNG价格上涨，油价快速回落时LNG也跟随回落。铜价已收复部分跌幅，但后续空间可能有限，尤其在油价上行背景下，对全球经济影响实打实。调整今年铜价目标预期，从之前乐观时的14000-15000下调至12000-13000。</w:t>
      </w:r>
    </w:p>
    <w:p>
      <w:r>
        <w:rPr>
          <w:rFonts w:ascii="等线(中文正文)" w:hAnsi="等线(中文正文)" w:cs="等线(中文正文)" w:eastAsia="等线(中文正文)"/>
          <w:b w:val="false"/>
          <w:i w:val="false"/>
          <w:sz w:val="20"/>
        </w:rPr>
        <w:t/>
      </w:r>
    </w:p>
    <w:p>
      <w:pPr>
        <w:pStyle w:val="ab"/>
      </w:pPr>
      <w:r>
        <w:t>对于逆周期调控，美国、日本等发达经济体如何避免经济衰退？</w:t>
      </w:r>
    </w:p>
    <w:p>
      <w:r>
        <w:rPr>
          <w:rFonts w:ascii="等线(中文正文)" w:hAnsi="等线(中文正文)" w:cs="等线(中文正文)" w:eastAsia="等线(中文正文)"/>
          <w:b w:val="false"/>
          <w:i w:val="false"/>
          <w:sz w:val="20"/>
        </w:rPr>
        <w:t>发言人1：在历次战争之后，这些经济体通过逆周期调控来应对。例如，在地缘冲击消退后，宏观政策通常偏向宽松，但战前的经济基本面决定了政策节奏。例如，第一次石油危机前美国经济过热，而海湾战争前美国经济已显疲态，美联储货币政策应对不同，前者初期降息后转为激进加息引发深度衰退，后者加快降息成功对冲衰退风险。</w:t>
      </w:r>
    </w:p>
    <w:p>
      <w:r>
        <w:rPr>
          <w:rFonts w:ascii="等线(中文正文)" w:hAnsi="等线(中文正文)" w:cs="等线(中文正文)" w:eastAsia="等线(中文正文)"/>
          <w:b w:val="false"/>
          <w:i w:val="false"/>
          <w:sz w:val="20"/>
        </w:rPr>
        <w:t/>
      </w:r>
    </w:p>
    <w:p>
      <w:pPr>
        <w:pStyle w:val="ab"/>
      </w:pPr>
      <w:r>
        <w:t>战争期间及战后，发达国家采取了哪些能源政策转变措施？</w:t>
      </w:r>
    </w:p>
    <w:p>
      <w:r>
        <w:rPr>
          <w:rFonts w:ascii="等线(中文正文)" w:hAnsi="等线(中文正文)" w:cs="等线(中文正文)" w:eastAsia="等线(中文正文)"/>
          <w:b w:val="false"/>
          <w:i w:val="false"/>
          <w:sz w:val="20"/>
        </w:rPr>
        <w:t>发言人1：战后，美国、欧洲、日本显著增加了可再生能源和核能使用规模，加速能源结构转型。在产业端，日本修改汽车规格标准，鼓励低油耗低排放小型车，推动产业升级。</w:t>
      </w:r>
    </w:p>
    <w:p>
      <w:r>
        <w:rPr>
          <w:rFonts w:ascii="等线(中文正文)" w:hAnsi="等线(中文正文)" w:cs="等线(中文正文)" w:eastAsia="等线(中文正文)"/>
          <w:b w:val="false"/>
          <w:i w:val="false"/>
          <w:sz w:val="20"/>
        </w:rPr>
        <w:t/>
      </w:r>
    </w:p>
    <w:p>
      <w:pPr>
        <w:pStyle w:val="ab"/>
      </w:pPr>
      <w:r>
        <w:t>从冲突到现在，各大类资产修复情况如何？</w:t>
      </w:r>
    </w:p>
    <w:p>
      <w:r>
        <w:rPr>
          <w:rFonts w:ascii="等线(中文正文)" w:hAnsi="等线(中文正文)" w:cs="等线(中文正文)" w:eastAsia="等线(中文正文)"/>
          <w:b w:val="false"/>
          <w:i w:val="false"/>
          <w:sz w:val="20"/>
        </w:rPr>
        <w:t>发言人1：全球资产修复分化明显，美股、纳斯达克、创业板指等已全额收复开战以来跌幅，但上证指数、恒生科技、韩国股指以及十年期美债、黄金尚未完全回血，特别是黄金还有较大回调空间。</w:t>
      </w:r>
    </w:p>
    <w:p>
      <w:r>
        <w:rPr>
          <w:rFonts w:ascii="等线(中文正文)" w:hAnsi="等线(中文正文)" w:cs="等线(中文正文)" w:eastAsia="等线(中文正文)"/>
          <w:b w:val="false"/>
          <w:i w:val="false"/>
          <w:sz w:val="20"/>
        </w:rPr>
        <w:t/>
      </w:r>
    </w:p>
    <w:p>
      <w:pPr>
        <w:pStyle w:val="ab"/>
      </w:pPr>
      <w:r>
        <w:t>黄金作为避险资产的重要性为何增强？</w:t>
      </w:r>
    </w:p>
    <w:p>
      <w:r>
        <w:rPr>
          <w:rFonts w:ascii="等线(中文正文)" w:hAnsi="等线(中文正文)" w:cs="等线(中文正文)" w:eastAsia="等线(中文正文)"/>
          <w:b w:val="false"/>
          <w:i w:val="false"/>
          <w:sz w:val="20"/>
        </w:rPr>
        <w:t>发言人1：目前黄金隐含波动率下降至30以下，表明上涨动能重新积蓄。近期美盘资金对黄金的配置成为重要做多信号，央行实物购金维持高位韧性。若美国失去对霍尔木兹海峡绝对控制权，美元霸权将实质衰落，黄金将由流动性定价转变为替代美元的定价，因此黄金相对美元将持续上涨。</w:t>
      </w:r>
    </w:p>
    <w:p>
      <w:r>
        <w:rPr>
          <w:rFonts w:ascii="等线(中文正文)" w:hAnsi="等线(中文正文)" w:cs="等线(中文正文)" w:eastAsia="等线(中文正文)"/>
          <w:b w:val="false"/>
          <w:i w:val="false"/>
          <w:sz w:val="20"/>
        </w:rPr>
        <w:t/>
      </w:r>
    </w:p>
    <w:p>
      <w:pPr>
        <w:pStyle w:val="ab"/>
      </w:pPr>
      <w:r>
        <w:t>对于工业金属的观点是什么？</w:t>
      </w:r>
    </w:p>
    <w:p>
      <w:r>
        <w:rPr>
          <w:rFonts w:ascii="等线(中文正文)" w:hAnsi="等线(中文正文)" w:cs="等线(中文正文)" w:eastAsia="等线(中文正文)"/>
          <w:b w:val="false"/>
          <w:i w:val="false"/>
          <w:sz w:val="20"/>
        </w:rPr>
        <w:t>发言人1：相对看好铝、镍、锂等金属景气程度。铝因供应端受影响，若通航后价格大跌将是配置机会；锂供需中，供给侧扰动有限，储能需求大超预期，车的需求也较好，而铜则可能表现相对较弱。</w:t>
      </w:r>
    </w:p>
    <w:p>
      <w:r>
        <w:rPr>
          <w:rFonts w:ascii="等线(中文正文)" w:hAnsi="等线(中文正文)" w:cs="等线(中文正文)" w:eastAsia="等线(中文正文)"/>
          <w:b w:val="false"/>
          <w:i w:val="false"/>
          <w:sz w:val="20"/>
        </w:rPr>
        <w:t/>
      </w:r>
    </w:p>
    <w:p>
      <w:pPr>
        <w:pStyle w:val="ab"/>
      </w:pPr>
      <w:r>
        <w:t>全球资金流向问题如何？</w:t>
      </w:r>
    </w:p>
    <w:p>
      <w:r>
        <w:rPr>
          <w:rFonts w:ascii="等线(中文正文)" w:hAnsi="等线(中文正文)" w:cs="等线(中文正文)" w:eastAsia="等线(中文正文)"/>
          <w:b w:val="false"/>
          <w:i w:val="false"/>
          <w:sz w:val="20"/>
        </w:rPr>
        <w:t>发言人1：本周北向资金活跃，南向资金净流入港股。A股和港股外资呈现流出态势，美股则出现显著净流入。资金从股市撤出流向避险和另类资产，如黄金和加密货币。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2026-04-21T00:45:05Z</dcterms:created>
  <dc:creator>Apache POI</dc:creator>
</cp:coreProperties>
</file>