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火电贡献93%发电量增量，能源通胀下电价兑现上涨 260420_导读</w:t>
      </w:r>
    </w:p>
    <w:p>
      <w:pPr>
        <w:pStyle w:val="a0"/>
        <w:jc w:val="center"/>
      </w:pPr>
      <w:r>
        <w:t>2026年04月21日 08:43</w:t>
      </w:r>
    </w:p>
    <w:p>
      <w:pPr>
        <w:pStyle w:val="a7"/>
      </w:pPr>
      <w:r>
        <w:t>关键词</w:t>
      </w:r>
    </w:p>
    <w:p>
      <w:r>
        <w:rPr>
          <w:rFonts w:ascii="等线(中文正文)" w:hAnsi="等线(中文正文)" w:cs="等线(中文正文)" w:eastAsia="等线(中文正文)"/>
          <w:b w:val="false"/>
          <w:i w:val="false"/>
          <w:sz w:val="20"/>
        </w:rPr>
        <w:t xml:space="preserve">火电 煤炭 发电量 电价上涨 能源通胀 三维度框架 煤电一体 市值管理 资本运作 低配低估 煤价 电量增量 水温改善 煤制气项目 分红金额 配置节点 底部企稳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当前，国有煤炭行业研究员分析指出，火电占发电量的93%，在能源通胀背景下，电价上涨，年初以来煤电发电量增速达3.3%-4.2%。公用事业和煤炭板块的三维度框架下，强调能源通胀下电价上涨趋势，提及风电和光伏发电量增量回落，火电比重增加。预计趋势持续，看好煤电电量、煤炭需求及煤价。建议关注电价端抬升，看好煤电一体公司投资，电力资产与能源通胀挂钩。最后，建议关注煤电业绩表现，认为当前是良好配置节点。</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火电电量增长与能源通胀下的电价上涨</w:t>
      </w:r>
    </w:p>
    <w:p>
      <w:r>
        <w:rPr>
          <w:rFonts w:ascii="等线(中文正文)" w:hAnsi="等线(中文正文)" w:cs="等线(中文正文)" w:eastAsia="等线(中文正文)"/>
          <w:b w:val="false"/>
          <w:i w:val="false"/>
          <w:sz w:val="20"/>
        </w:rPr>
        <w:t>对话围绕火电电量增长的兑现情况和能源通胀下电价上涨的趋势展开，强调了煤炭行业在当前经济环境中的重要性。讨论了公用事业和煤炭板块的三维度框架，特别是电价上涨维度的体现，并新增了相关推荐标的。同时，提及了能源安全链路的关注度提升，以及市值管理和资本运作下的投资机会。</w:t>
      </w:r>
    </w:p>
    <w:p>
      <w:r>
        <w:rPr>
          <w:rFonts w:ascii="等线(中文正文)" w:hAnsi="等线(中文正文)" w:cs="等线(中文正文)" w:eastAsia="等线(中文正文)"/>
          <w:b w:val="false"/>
          <w:i w:val="false"/>
          <w:sz w:val="20"/>
        </w:rPr>
        <w:t/>
      </w:r>
    </w:p>
    <w:p>
      <w:pPr>
        <w:pStyle w:val="ab"/>
        <w:numPr>
          <w:numId w:val="2"/>
        </w:numPr>
      </w:pPr>
      <w:r>
        <w:t>04:52 火电电量增长趋势与风光发电量变化分析</w:t>
      </w:r>
    </w:p>
    <w:p>
      <w:r>
        <w:rPr>
          <w:rFonts w:ascii="等线(中文正文)" w:hAnsi="等线(中文正文)" w:cs="等线(中文正文)" w:eastAsia="等线(中文正文)"/>
          <w:b w:val="false"/>
          <w:i w:val="false"/>
          <w:sz w:val="20"/>
        </w:rPr>
        <w:t>对话中提到2026年上半年全社会用电量预计高增长，火电发电量增量占比显著提升至93%，而风光发电量增量占比降至-5%。风光装机增速下降，风电和光伏同比分别减少12和8个百分点，未见明显发电量贡献，看好火电电量及煤炭需求。</w:t>
      </w:r>
    </w:p>
    <w:p>
      <w:r>
        <w:rPr>
          <w:rFonts w:ascii="等线(中文正文)" w:hAnsi="等线(中文正文)" w:cs="等线(中文正文)" w:eastAsia="等线(中文正文)"/>
          <w:b w:val="false"/>
          <w:i w:val="false"/>
          <w:sz w:val="20"/>
        </w:rPr>
        <w:t/>
      </w:r>
    </w:p>
    <w:p>
      <w:pPr>
        <w:pStyle w:val="ab"/>
        <w:numPr>
          <w:numId w:val="3"/>
        </w:numPr>
      </w:pPr>
      <w:r>
        <w:t>06:58 能源通胀下的电价上涨与电力投资机会</w:t>
      </w:r>
    </w:p>
    <w:p>
      <w:r>
        <w:rPr>
          <w:rFonts w:ascii="等线(中文正文)" w:hAnsi="等线(中文正文)" w:cs="等线(中文正文)" w:eastAsia="等线(中文正文)"/>
          <w:b w:val="false"/>
          <w:i w:val="false"/>
          <w:sz w:val="20"/>
        </w:rPr>
        <w:t>对话分析了能源通胀背景下，沿海省份现货电价上涨趋势及其对电力行业的影响。指出煤电一体公司受益于成本与销售端联动，电力行业有望走出通缩，实现盈利提升。建议关注煤电侧业绩表现，强调电力行业挂钩能源通胀的投资机会，特别是在电价预期修正后。</w:t>
      </w:r>
    </w:p>
    <w:p>
      <w:r>
        <w:rPr>
          <w:rFonts w:ascii="等线(中文正文)" w:hAnsi="等线(中文正文)" w:cs="等线(中文正文)" w:eastAsia="等线(中文正文)"/>
          <w:b w:val="false"/>
          <w:i w:val="false"/>
          <w:sz w:val="20"/>
        </w:rPr>
        <w:t/>
      </w:r>
    </w:p>
    <w:p>
      <w:pPr>
        <w:pStyle w:val="ab"/>
        <w:numPr>
          <w:numId w:val="4"/>
        </w:numPr>
      </w:pPr>
      <w:r>
        <w:t>09:45 公用事业与煤炭行业投资机会分析</w:t>
      </w:r>
    </w:p>
    <w:p>
      <w:r>
        <w:rPr>
          <w:rFonts w:ascii="等线(中文正文)" w:hAnsi="等线(中文正文)" w:cs="等线(中文正文)" w:eastAsia="等线(中文正文)"/>
          <w:b w:val="false"/>
          <w:i w:val="false"/>
          <w:sz w:val="20"/>
        </w:rPr>
        <w:t>报告指出，国际事业板块拥挤度回落，三电融合项目如宁夏中卫数据中心及两河口水电项目表现良好，预示新行情酝酿。能源安全视角下，制造业回流推高能源需求，建议关注优质能源资产安全溢价。当前低配低估价背景下，电力与煤炭行业具备投资机会，尤其在地缘因素降温阶段。推荐关注煤炭（如兖矿能源）、火电（如宝新能源）、水电（如国投电力）及川投能源等标的，强调能源通胀下电价上涨链路，认为电力股配置节点良好。</w:t>
      </w:r>
    </w:p>
    <w:p>
      <w:r>
        <w:rPr>
          <w:rFonts w:ascii="等线(中文正文)" w:hAnsi="等线(中文正文)" w:cs="等线(中文正文)" w:eastAsia="等线(中文正文)"/>
          <w:b w:val="false"/>
          <w:i w:val="false"/>
          <w:sz w:val="20"/>
        </w:rPr>
        <w:t/>
      </w:r>
    </w:p>
    <w:p>
      <w:pPr>
        <w:pStyle w:val="a7"/>
      </w:pPr>
      <w:r>
        <w:t>发言总结</w:t>
      </w:r>
    </w:p>
    <w:p>
      <w:pPr>
        <w:pStyle w:val="ab"/>
        <w:numPr>
          <w:numId w:val="5"/>
        </w:numPr>
      </w:pPr>
      <w:r>
        <w:t>发言人1</w:t>
      </w:r>
    </w:p>
    <w:p>
      <w:r>
        <w:rPr>
          <w:rFonts w:ascii="等线(中文正文)" w:hAnsi="等线(中文正文)" w:cs="等线(中文正文)" w:eastAsia="等线(中文正文)"/>
          <w:b w:val="false"/>
          <w:i w:val="false"/>
          <w:sz w:val="20"/>
        </w:rPr>
        <w:t>尊敬的各位投资者，我是国金证券国有煤炭行业的研究员江涛。我们本周的电话会议主要围绕火电贡献93%的发电量以及在增量能源通胀下的电价兑现上涨进行汇报。年初至今，我们已见证煤电发电量的显著增长，1至2月增速3.3%，单3月份增速4.2%，并预计这一趋势将持续。我们特别强调了能源通胀下的电价上涨趋势，并观察到电价开始实际上涨。同时，我们新增关注的标的包括保鲜能源和煤电一体公司，并建议关注电力公司在一季报中的业绩表现。此外，我们还探讨了能源安全、制造业回流带来的需求增长以及低配低估价主题行情。总体而言，我们认为在当前阶段，电力和煤炭行业具备较好的投资机会，尤其是考虑到能源通胀和电价上涨的预期。感谢各位投资者的参与，期待与大家的进一步交流。</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问：对于未来火电发电量的预期如何？</w:t>
      </w:r>
    </w:p>
    <w:p>
      <w:r>
        <w:rPr>
          <w:rFonts w:ascii="等线(中文正文)" w:hAnsi="等线(中文正文)" w:cs="等线(中文正文)" w:eastAsia="等线(中文正文)"/>
          <w:b w:val="false"/>
          <w:i w:val="false"/>
          <w:sz w:val="20"/>
        </w:rPr>
        <w:t>发言人1 答：我们认为未来火电发电量仍将持续向好，原因有两个：一是全社会用电量增速在低基数下将继续保持高增长；二是去年同期火电电量基数较低。因此，看好煤电电量增长及煤炭需求，从而看好煤价走势。</w:t>
      </w:r>
    </w:p>
    <w:p>
      <w:r>
        <w:rPr>
          <w:rFonts w:ascii="等线(中文正文)" w:hAnsi="等线(中文正文)" w:cs="等线(中文正文)" w:eastAsia="等线(中文正文)"/>
          <w:b w:val="false"/>
          <w:i w:val="false"/>
          <w:sz w:val="20"/>
        </w:rPr>
        <w:t/>
      </w:r>
    </w:p>
    <w:p>
      <w:pPr>
        <w:pStyle w:val="ab"/>
      </w:pPr>
      <w:r>
        <w:t>发言人1 问：电价上涨的情况及影响如何？</w:t>
      </w:r>
    </w:p>
    <w:p>
      <w:r>
        <w:rPr>
          <w:rFonts w:ascii="等线(中文正文)" w:hAnsi="等线(中文正文)" w:cs="等线(中文正文)" w:eastAsia="等线(中文正文)"/>
          <w:b w:val="false"/>
          <w:i w:val="false"/>
          <w:sz w:val="20"/>
        </w:rPr>
        <w:t>发言人1 答：目前，能源通胀下的电价上涨趋势正在兑现，例如广东和安徽等地现货电价较年初和去年同期均有显著上涨。这种上涨源于需求端增长和供给端收缩，使得煤电电量增加，进而带动现货电价上行。尽管现货电价占比相对较小，但我们预期部分省份的阅读电价将出现突破，这将对电力公司的电价预期和盈利水平产生积极影响。</w:t>
      </w:r>
    </w:p>
    <w:p>
      <w:r>
        <w:rPr>
          <w:rFonts w:ascii="等线(中文正文)" w:hAnsi="等线(中文正文)" w:cs="等线(中文正文)" w:eastAsia="等线(中文正文)"/>
          <w:b w:val="false"/>
          <w:i w:val="false"/>
          <w:sz w:val="20"/>
        </w:rPr>
        <w:t/>
      </w:r>
    </w:p>
    <w:p>
      <w:pPr>
        <w:pStyle w:val="ab"/>
      </w:pPr>
      <w:r>
        <w:t>发言人1 问：火电发电量的情况如何，是否符合年初的预测？</w:t>
      </w:r>
    </w:p>
    <w:p>
      <w:r>
        <w:rPr>
          <w:rFonts w:ascii="等线(中文正文)" w:hAnsi="等线(中文正文)" w:cs="等线(中文正文)" w:eastAsia="等线(中文正文)"/>
          <w:b w:val="false"/>
          <w:i w:val="false"/>
          <w:sz w:val="20"/>
        </w:rPr>
        <w:t>发言人1 答：年初时我们预测2023年上半年全社会用电量将实现高增长，火电发电量也会随之增加。从1到2月份的数据来看，火电电量增长已得到兑现，增速为3.3%。预计3月份火电电量将继续保持不错的增长态势，主要是由于去年基数较低以及高耗能制造业边际改善。</w:t>
      </w:r>
    </w:p>
    <w:p>
      <w:r>
        <w:rPr>
          <w:rFonts w:ascii="等线(中文正文)" w:hAnsi="等线(中文正文)" w:cs="等线(中文正文)" w:eastAsia="等线(中文正文)"/>
          <w:b w:val="false"/>
          <w:i w:val="false"/>
          <w:sz w:val="20"/>
        </w:rPr>
        <w:t/>
      </w:r>
    </w:p>
    <w:p>
      <w:pPr>
        <w:pStyle w:val="ab"/>
      </w:pPr>
      <w:r>
        <w:t>发言人1 问：火电发电量增量中风光发电的占比有何变化？</w:t>
      </w:r>
    </w:p>
    <w:p>
      <w:r>
        <w:rPr>
          <w:rFonts w:ascii="等线(中文正文)" w:hAnsi="等线(中文正文)" w:cs="等线(中文正文)" w:eastAsia="等线(中文正文)"/>
          <w:b w:val="false"/>
          <w:i w:val="false"/>
          <w:sz w:val="20"/>
        </w:rPr>
        <w:t>发言人1 答：去年风光发电在发电量增量中占比高达149%，对火电形成明显挤压。而今年，风光发电在增量中的占比显著回落，3月份甚至出现负贡献，仅占-5%。风光发电增速放缓的原因在于新增装机增长和风光电资源优势未如去年进一步扩大，反而火电利用小时数承压，导致火电在发电量增量中的比重上升至93%，超过其在结构中的60%多的占比。</w:t>
      </w:r>
    </w:p>
    <w:p>
      <w:r>
        <w:rPr>
          <w:rFonts w:ascii="等线(中文正文)" w:hAnsi="等线(中文正文)" w:cs="等线(中文正文)" w:eastAsia="等线(中文正文)"/>
          <w:b w:val="false"/>
          <w:i w:val="false"/>
          <w:sz w:val="20"/>
        </w:rPr>
        <w:t/>
      </w:r>
    </w:p>
    <w:p>
      <w:pPr>
        <w:pStyle w:val="ab"/>
      </w:pPr>
      <w:r>
        <w:t>发言人1 问：对于电力资产类型的投资建议是什么？</w:t>
      </w:r>
    </w:p>
    <w:p>
      <w:r>
        <w:rPr>
          <w:rFonts w:ascii="等线(中文正文)" w:hAnsi="等线(中文正文)" w:cs="等线(中文正文)" w:eastAsia="等线(中文正文)"/>
          <w:b w:val="false"/>
          <w:i w:val="false"/>
          <w:sz w:val="20"/>
        </w:rPr>
        <w:t>发言人1 答：我们建议关注电价端的抬升，这是一个已有趋势但市场关注度不高的领域。一旦形成沿海向内陆省份电价上涨的传导，将有望开启过去类似电价预期向下、煤价预期向上的投资机会。尤其推荐煤电一体的公司，因为其成本端受煤炭开采销售影响，而销售端直接关联电价，一旦电价走升，将有利于业绩表现。</w:t>
      </w:r>
    </w:p>
    <w:p>
      <w:r>
        <w:rPr>
          <w:rFonts w:ascii="等线(中文正文)" w:hAnsi="等线(中文正文)" w:cs="等线(中文正文)" w:eastAsia="等线(中文正文)"/>
          <w:b w:val="false"/>
          <w:i w:val="false"/>
          <w:sz w:val="20"/>
        </w:rPr>
        <w:t/>
      </w:r>
    </w:p>
    <w:p>
      <w:pPr>
        <w:pStyle w:val="ab"/>
      </w:pPr>
      <w:r>
        <w:t>发言人1 问：三维度框架下当前有哪些具体的投资机会？</w:t>
      </w:r>
    </w:p>
    <w:p>
      <w:r>
        <w:rPr>
          <w:rFonts w:ascii="等线(中文正文)" w:hAnsi="等线(中文正文)" w:cs="等线(中文正文)" w:eastAsia="等线(中文正文)"/>
          <w:b w:val="false"/>
          <w:i w:val="false"/>
          <w:sz w:val="20"/>
        </w:rPr>
        <w:t>发言人1 答：三维度框架包括能源通胀、电价上涨和业绩兑现时间线。目前，煤炭、一季度业绩修正后的火电、汛期水电等均存在较好的投资机会。此外，低配低估价主题行情也值得关注，特别是随着能源安全溢价提升，国内优质能源资产有望迎来向上弹性行情。从相关标的来看，建议关注受益于海外煤价上涨的兖矿能源、澳陕西煤业、中国神华等煤炭企业，以及宝新能源、深能股份、华能电机等火电企业，同时水电方面应关注国投电力、长江电力等公司。在市值管理和资本运作方面，川投能源、华电国际、福建电力等表现出良好的配置价值。</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2026-04-21T00:45:06Z</dcterms:created>
  <dc:creator>Apache POI</dc:creator>
</cp:coreProperties>
</file>