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中炬高新 260420_导读</w:t>
      </w:r>
    </w:p>
    <w:p>
      <w:pPr>
        <w:pStyle w:val="a0"/>
        <w:jc w:val="center"/>
      </w:pPr>
      <w:r>
        <w:t>2026年04月21日 08:43</w:t>
      </w:r>
    </w:p>
    <w:p>
      <w:pPr>
        <w:pStyle w:val="a7"/>
      </w:pPr>
      <w:r>
        <w:t>关键词</w:t>
      </w:r>
    </w:p>
    <w:p>
      <w:r>
        <w:rPr>
          <w:rFonts w:ascii="等线(中文正文)" w:hAnsi="等线(中文正文)" w:cs="等线(中文正文)" w:eastAsia="等线(中文正文)"/>
          <w:b w:val="false"/>
          <w:i w:val="false"/>
          <w:sz w:val="20"/>
        </w:rPr>
        <w:t xml:space="preserve">业绩修复 市场策略调整 毛利率 净利润率 薇姿美 并购 资本开支 华东市场 产品收入 渠道建设 经营管理 经济活动分析 商誉 厨邦 味之美 复合调味品 火锅底料 成本管控 产品研发 电子商务 </w:t>
      </w:r>
    </w:p>
    <w:p>
      <w:r>
        <w:rPr>
          <w:rFonts w:ascii="等线(中文正文)" w:hAnsi="等线(中文正文)" w:cs="等线(中文正文)" w:eastAsia="等线(中文正文)"/>
          <w:b w:val="false"/>
          <w:i w:val="false"/>
          <w:sz w:val="20"/>
        </w:rPr>
        <w:t/>
      </w:r>
    </w:p>
    <w:p>
      <w:pPr>
        <w:pStyle w:val="a7"/>
      </w:pPr>
      <w:r>
        <w:t>章节速览</w:t>
      </w:r>
    </w:p>
    <w:p>
      <w:pPr>
        <w:pStyle w:val="a7"/>
      </w:pPr>
      <w:r>
        <w:t>发言总结</w:t>
      </w:r>
    </w:p>
    <w:p>
      <w:pPr>
        <w:pStyle w:val="ab"/>
        <w:numPr>
          <w:numId w:val="1"/>
        </w:numPr>
      </w:pPr>
      <w:r>
        <w:t>发言人1</w:t>
      </w:r>
    </w:p>
    <w:p>
      <w:r>
        <w:rPr>
          <w:rFonts w:ascii="等线(中文正文)" w:hAnsi="等线(中文正文)" w:cs="等线(中文正文)" w:eastAsia="等线(中文正文)"/>
          <w:b w:val="false"/>
          <w:i w:val="false"/>
          <w:sz w:val="20"/>
        </w:rPr>
        <w:t>作为中信建投证券大消费组组长，主持并介绍了中信建投证券大消费组及公司高层对中区高新2025年及2026年的年度和季度业绩的讨论。他首先介绍了会议的目的及参与的高层领导，包括李董事长、俞建华副董事长、向阳总等。随后，他简述了中区高新的财务数据和业务发展情况，指出去年下半年业绩有明显好转，包括渠道库存的降低、终端动销的改善以及调味品板块的毛利率和净利润率都达到了历史最高水平。他还提到了公司为促进业绩增长所采取的策略，包括提升经销商的促销效率、优化渠道建设和产品线。他也提及了公司在产品开发和市场策略上的调整，包括进军复调赛道和外延并购的策略，特别是在一季度实现了较快的增长。同时，他回应了投资者对成本控制、毛利率和未来产品战略的提问，表示公司正在通过改善供应链管理、强化内部控制等方式来应对成本上涨的挑战，同时持续关注新产品的开发和市场策略的调整，以实现长期增长。最后，他总结了公司对投资者的感谢和对未来发展的信心，表示公司将继续通过战略调整和创新，实现更好的业绩。</w:t>
      </w:r>
    </w:p>
    <w:p>
      <w:r>
        <w:rPr>
          <w:rFonts w:ascii="等线(中文正文)" w:hAnsi="等线(中文正文)" w:cs="等线(中文正文)" w:eastAsia="等线(中文正文)"/>
          <w:b w:val="false"/>
          <w:i w:val="false"/>
          <w:sz w:val="20"/>
        </w:rPr>
        <w:t/>
      </w:r>
    </w:p>
    <w:p>
      <w:pPr>
        <w:pStyle w:val="a7"/>
      </w:pPr>
      <w:r>
        <w:t>要点回顾</w:t>
      </w:r>
    </w:p>
    <w:p>
      <w:pPr>
        <w:pStyle w:val="ab"/>
      </w:pPr>
      <w:r>
        <w:t>公司2025年全年财务数据以及业绩情况如何？</w:t>
      </w:r>
    </w:p>
    <w:p>
      <w:r>
        <w:rPr>
          <w:rFonts w:ascii="等线(中文正文)" w:hAnsi="等线(中文正文)" w:cs="等线(中文正文)" w:eastAsia="等线(中文正文)"/>
          <w:b w:val="false"/>
          <w:i w:val="false"/>
          <w:sz w:val="20"/>
        </w:rPr>
        <w:t>发言人1：2025年全年，公司的收入和净利润与之前给出的指引预期及三季度报趋势基本一致。业务和市场情况自下半年起明显好转，渠道库存倍数从年初的3.6倍降至12月末的2.5倍以下，终端动销也逐步提升，环比改善10%以上，消除价格倒挂情况，并且经销商促销效率和提货节奏符合公司预期。26年一季度，集团合并营业收入达到13.2亿元，同比增长19.9%，扣非归母净利润为2.63亿元，同比增长45.11%，毛利率达到历史最高水平42%。</w:t>
      </w:r>
    </w:p>
    <w:p>
      <w:r>
        <w:rPr>
          <w:rFonts w:ascii="等线(中文正文)" w:hAnsi="等线(中文正文)" w:cs="等线(中文正文)" w:eastAsia="等线(中文正文)"/>
          <w:b w:val="false"/>
          <w:i w:val="false"/>
          <w:sz w:val="20"/>
        </w:rPr>
        <w:t/>
      </w:r>
    </w:p>
    <w:p>
      <w:pPr>
        <w:pStyle w:val="ab"/>
      </w:pPr>
      <w:r>
        <w:t>公司在市场策略上做了哪些调整以实现业绩修复和主动调整？</w:t>
      </w:r>
    </w:p>
    <w:p>
      <w:r>
        <w:rPr>
          <w:rFonts w:ascii="等线(中文正文)" w:hAnsi="等线(中文正文)" w:cs="等线(中文正文)" w:eastAsia="等线(中文正文)"/>
          <w:b w:val="false"/>
          <w:i w:val="false"/>
          <w:sz w:val="20"/>
        </w:rPr>
        <w:t>发言人1：公司在25年坚持“强基多元高效”的管理主题，强化组织能力、技术体系和基本流程改造，同时运用数据驱动和管理决策资源投放及终端服务。此外，加强了过程管理，如安全库存管理、价格管理多维度对比、串货次数监控、电商管理等，以支持经销商和公司共同发展。通过建立全国市场联盟管理委员会，充分发挥经销商主观能动性，围绕共同目标经营管理各项健康指标。</w:t>
      </w:r>
    </w:p>
    <w:p>
      <w:r>
        <w:rPr>
          <w:rFonts w:ascii="等线(中文正文)" w:hAnsi="等线(中文正文)" w:cs="等线(中文正文)" w:eastAsia="等线(中文正文)"/>
          <w:b w:val="false"/>
          <w:i w:val="false"/>
          <w:sz w:val="20"/>
        </w:rPr>
        <w:t/>
      </w:r>
    </w:p>
    <w:p>
      <w:pPr>
        <w:pStyle w:val="ab"/>
      </w:pPr>
      <w:r>
        <w:t>在产品和区域上，25年及26年一季度的表现和重点是什么？</w:t>
      </w:r>
    </w:p>
    <w:p>
      <w:r>
        <w:rPr>
          <w:rFonts w:ascii="等线(中文正文)" w:hAnsi="等线(中文正文)" w:cs="等线(中文正文)" w:eastAsia="等线(中文正文)"/>
          <w:b w:val="false"/>
          <w:i w:val="false"/>
          <w:sz w:val="20"/>
        </w:rPr>
        <w:t>发言人1：在产品方面，25年及26年一季度产品收入有所增长，其中某些品类增速较快，但具体品类未在该部分明确说明。在区域上，华东市场增长较快，华南地区虽然修复但相对较慢。对于产品和区域的重点，在26年公司将根据经销商现状、战略发展需要以及基础调味品和复合调味品战略规划，对现有渠道进行优化和完善，特别是针对快消品领域，将五个省份的渠道建设作为重点业务事项。</w:t>
      </w:r>
    </w:p>
    <w:p>
      <w:r>
        <w:rPr>
          <w:rFonts w:ascii="等线(中文正文)" w:hAnsi="等线(中文正文)" w:cs="等线(中文正文)" w:eastAsia="等线(中文正文)"/>
          <w:b w:val="false"/>
          <w:i w:val="false"/>
          <w:sz w:val="20"/>
        </w:rPr>
        <w:t/>
      </w:r>
    </w:p>
    <w:p>
      <w:pPr>
        <w:pStyle w:val="ab"/>
      </w:pPr>
      <w:r>
        <w:t>从产品端来看，过去几年的销售额考核方式是怎样的？是否导致了经营管理理念与总部管理为主的模式？</w:t>
      </w:r>
    </w:p>
    <w:p>
      <w:r>
        <w:rPr>
          <w:rFonts w:ascii="等线(中文正文)" w:hAnsi="等线(中文正文)" w:cs="等线(中文正文)" w:eastAsia="等线(中文正文)"/>
          <w:b w:val="false"/>
          <w:i w:val="false"/>
          <w:sz w:val="20"/>
        </w:rPr>
        <w:t>发言人1：过去几年，产品销售额的考核相对粗放，主要由营销人员负责销售指标，而对销售管理转化到经营管理以及产品价值创造、利润和收入双增长的培训和赋能不足。这导致了一线管理人员和执行人员未能充分将销售管理转化为经营管理。</w:t>
      </w:r>
    </w:p>
    <w:p>
      <w:r>
        <w:rPr>
          <w:rFonts w:ascii="等线(中文正文)" w:hAnsi="等线(中文正文)" w:cs="等线(中文正文)" w:eastAsia="等线(中文正文)"/>
          <w:b w:val="false"/>
          <w:i w:val="false"/>
          <w:sz w:val="20"/>
        </w:rPr>
        <w:t/>
      </w:r>
    </w:p>
    <w:p>
      <w:pPr>
        <w:pStyle w:val="ab"/>
      </w:pPr>
      <w:r>
        <w:t>公司如何通过业态管理体系和经济活动分析来优化产品管理？</w:t>
      </w:r>
    </w:p>
    <w:p>
      <w:r>
        <w:rPr>
          <w:rFonts w:ascii="等线(中文正文)" w:hAnsi="等线(中文正文)" w:cs="等线(中文正文)" w:eastAsia="等线(中文正文)"/>
          <w:b w:val="false"/>
          <w:i w:val="false"/>
          <w:sz w:val="20"/>
        </w:rPr>
        <w:t>发言人1：自2025年起，公司开始建立业态管理体系，运用经济活动分析和经济损益表进行多维度评估，聚焦重点产品，创新开发新品种，匹配相应促销和组织资源，以保证产品持续健康发展。</w:t>
      </w:r>
    </w:p>
    <w:p>
      <w:r>
        <w:rPr>
          <w:rFonts w:ascii="等线(中文正文)" w:hAnsi="等线(中文正文)" w:cs="等线(中文正文)" w:eastAsia="等线(中文正文)"/>
          <w:b w:val="false"/>
          <w:i w:val="false"/>
          <w:sz w:val="20"/>
        </w:rPr>
        <w:t/>
      </w:r>
    </w:p>
    <w:p>
      <w:pPr>
        <w:pStyle w:val="ab"/>
      </w:pPr>
      <w:r>
        <w:t>薇姿美目前的基本情况、财务数据以及并表后对中炬高新的协同影响是什么？</w:t>
      </w:r>
    </w:p>
    <w:p>
      <w:r>
        <w:rPr>
          <w:rFonts w:ascii="等线(中文正文)" w:hAnsi="等线(中文正文)" w:cs="等线(中文正文)" w:eastAsia="等线(中文正文)"/>
          <w:b w:val="false"/>
          <w:i w:val="false"/>
          <w:sz w:val="20"/>
        </w:rPr>
        <w:t>发言人1：薇姿美主要做B端餐饮定制化服务，2024年收入约两亿多元，净利润约为3000万。今年3月已完成交割并表，其业务与厨邦的基调赛道形成互补，有助于缩短厨邦进入复调赛道的周期。目前正在进行业务协同对接，且今年预算规划中，薇姿美收入和利润持平，下半年希望通过新的销售渠道和资源投入实现50%至70%的收入增长。</w:t>
      </w:r>
    </w:p>
    <w:p>
      <w:r>
        <w:rPr>
          <w:rFonts w:ascii="等线(中文正文)" w:hAnsi="等线(中文正文)" w:cs="等线(中文正文)" w:eastAsia="等线(中文正文)"/>
          <w:b w:val="false"/>
          <w:i w:val="false"/>
          <w:sz w:val="20"/>
        </w:rPr>
        <w:t/>
      </w:r>
    </w:p>
    <w:p>
      <w:pPr>
        <w:pStyle w:val="ab"/>
      </w:pPr>
      <w:r>
        <w:t>对于成本端和毛利问题，公司在面临大宗原料价格上涨的情况下如何展望2026年的成本和毛利率情况？</w:t>
      </w:r>
    </w:p>
    <w:p>
      <w:r>
        <w:rPr>
          <w:rFonts w:ascii="等线(中文正文)" w:hAnsi="等线(中文正文)" w:cs="等线(中文正文)" w:eastAsia="等线(中文正文)"/>
          <w:b w:val="false"/>
          <w:i w:val="false"/>
          <w:sz w:val="20"/>
        </w:rPr>
        <w:t>发言人1：公司已建立原材料价格监控体系，针对美伊战争等影响，联合外部期货贸易公司和首席飞行员团队监控原材料及其衍生品价格变动，制定成本上涨预案。虽然部分产品受原材料波动影响，但公司通过成本优化每年可自我解决。尽管如此，市场关心在成本上升背景下是否会导致企业因成本原因触发提价行为。</w:t>
      </w:r>
    </w:p>
    <w:p>
      <w:r>
        <w:rPr>
          <w:rFonts w:ascii="等线(中文正文)" w:hAnsi="等线(中文正文)" w:cs="等线(中文正文)" w:eastAsia="等线(中文正文)"/>
          <w:b w:val="false"/>
          <w:i w:val="false"/>
          <w:sz w:val="20"/>
        </w:rPr>
        <w:t/>
      </w:r>
    </w:p>
    <w:p>
      <w:pPr>
        <w:pStyle w:val="ab"/>
      </w:pPr>
      <w:r>
        <w:t>在战争持续期间，公司除了成本控制外，还有哪些应对措施？</w:t>
      </w:r>
    </w:p>
    <w:p>
      <w:r>
        <w:rPr>
          <w:rFonts w:ascii="等线(中文正文)" w:hAnsi="等线(中文正文)" w:cs="等线(中文正文)" w:eastAsia="等线(中文正文)"/>
          <w:b w:val="false"/>
          <w:i w:val="false"/>
          <w:sz w:val="20"/>
        </w:rPr>
        <w:t>发言人1：在战争持续的情况下，公司已责成销售管理部、产品中心、研究院、采购部及效能管理中心五个部门联合制定了一套预案。这个预案根据成本上涨的不同额度（3000万、5000万、1亿）和战争持续时间（一个月、三个月、六个月），制定出相应的成本上涨应对策略，以确保公司今年的利润目标得以实现。</w:t>
      </w:r>
    </w:p>
    <w:p>
      <w:r>
        <w:rPr>
          <w:rFonts w:ascii="等线(中文正文)" w:hAnsi="等线(中文正文)" w:cs="等线(中文正文)" w:eastAsia="等线(中文正文)"/>
          <w:b w:val="false"/>
          <w:i w:val="false"/>
          <w:sz w:val="20"/>
        </w:rPr>
        <w:t/>
      </w:r>
    </w:p>
    <w:p>
      <w:pPr>
        <w:pStyle w:val="ab"/>
      </w:pPr>
      <w:r>
        <w:t>针对成本上涨，公司如何通过涨价来消化成本，并对销售费用率、毛利率和管理费用率做何展望？能否解释2025年公司销售费用率提升较多的原因，并对2026年的销售费用率做出展望？</w:t>
      </w:r>
    </w:p>
    <w:p>
      <w:r>
        <w:rPr>
          <w:rFonts w:ascii="等线(中文正文)" w:hAnsi="等线(中文正文)" w:cs="等线(中文正文)" w:eastAsia="等线(中文正文)"/>
          <w:b w:val="false"/>
          <w:i w:val="false"/>
          <w:sz w:val="20"/>
        </w:rPr>
        <w:t>发言人1：公司正在密切关注原材料上涨趋势及其对公司预算利润目标的影响。目前尚未给出2026年销售费用率的具体展望，但已着手优化费用管理和成本控制，包括调整产品价格以应对成本上涨。对于2026年毛利率和管理费用率，由于正在进行成本管理和供应链优化，预计会有所改善，具体数据待进一步分析和公布。2025年销售费用率上升的主要主观原因是公司给予各事业部较大的费用决策权，导致不同区域间策略方法存在较大差异，费效比低。今年公司调整了管理方式，总部统筹全国主要产品价格稳定，并按产品和区域建立了市场健康指标进行月度和季度评估调整。客观上，2025年因2024年底高库存及各区域费效比差异，促销费用未有效投放引发全国价格波动，公司投入大量资源保障主销区域经销商和销量基础，但这种模式内耗严重。至2026年一季度，公司已优化管控模式，实现合理有效的费效比组合，从而显著改善经营利润。</w:t>
      </w:r>
    </w:p>
    <w:p>
      <w:r>
        <w:rPr>
          <w:rFonts w:ascii="等线(中文正文)" w:hAnsi="等线(中文正文)" w:cs="等线(中文正文)" w:eastAsia="等线(中文正文)"/>
          <w:b w:val="false"/>
          <w:i w:val="false"/>
          <w:sz w:val="20"/>
        </w:rPr>
        <w:t/>
      </w:r>
    </w:p>
    <w:p>
      <w:pPr>
        <w:pStyle w:val="ab"/>
      </w:pPr>
      <w:r>
        <w:t>公司在成本管理方面做了哪些变革和投入，以及如何看待2026年的成本管控展望？</w:t>
      </w:r>
    </w:p>
    <w:p>
      <w:r>
        <w:rPr>
          <w:rFonts w:ascii="等线(中文正文)" w:hAnsi="等线(中文正文)" w:cs="等线(中文正文)" w:eastAsia="等线(中文正文)"/>
          <w:b w:val="false"/>
          <w:i w:val="false"/>
          <w:sz w:val="20"/>
        </w:rPr>
        <w:t>发言人1：2025年公司在成本管理上经历了从部门内部自我完善到成立效能管理中心，打破以部门为单位的传统模式，转向大供应链管理模式，并结合IT理念优化重点项目。2026年公司将通过大供应链的高效对接和整体提升降低成本，同时用精准数据驱动各部门有效联动。此外，公司还将针对原材料成本优化供应链，若遇到战争等不可控因素影响利润预算时，将启动产品调价预案。整体来看，随着大供应链项目的落地实施，2026年成本管控预计将取得更好的成效。</w:t>
      </w:r>
    </w:p>
    <w:p>
      <w:r>
        <w:rPr>
          <w:rFonts w:ascii="等线(中文正文)" w:hAnsi="等线(中文正文)" w:cs="等线(中文正文)" w:eastAsia="等线(中文正文)"/>
          <w:b w:val="false"/>
          <w:i w:val="false"/>
          <w:sz w:val="20"/>
        </w:rPr>
        <w:t/>
      </w:r>
    </w:p>
    <w:p>
      <w:pPr>
        <w:pStyle w:val="ab"/>
      </w:pPr>
      <w:r>
        <w:t>公司的新产品战略、目前的研发重点以及后续资源投放的重点在哪些品类？</w:t>
      </w:r>
    </w:p>
    <w:p>
      <w:r>
        <w:rPr>
          <w:rFonts w:ascii="等线(中文正文)" w:hAnsi="等线(中文正文)" w:cs="等线(中文正文)" w:eastAsia="等线(中文正文)"/>
          <w:b w:val="false"/>
          <w:i w:val="false"/>
          <w:sz w:val="20"/>
        </w:rPr>
        <w:t>发言人1：公司新产品战略围绕公司未来整体战略规划，对产品从调研、研发到投放管理进行了重新的产品体系规划和调整。成立了产品中心，整合营销中心、销管部和全国市场管理委员会多方资源，构建产品体系组织建设和能力。具体研发方面，酱油是核心产品，公司将开展健康营养、海洋性等产品的立项研发，并根据消费者需求变化对蚝油、鸡精、料酒、醋等基础调味品进行产品储备和投放。同时，公司在复合调味品领域也正在积极进行趋势研究和产品研发工作。</w:t>
      </w:r>
    </w:p>
    <w:p>
      <w:r>
        <w:rPr>
          <w:rFonts w:ascii="等线(中文正文)" w:hAnsi="等线(中文正文)" w:cs="等线(中文正文)" w:eastAsia="等线(中文正文)"/>
          <w:b w:val="false"/>
          <w:i w:val="false"/>
          <w:sz w:val="20"/>
        </w:rPr>
        <w:t/>
      </w:r>
    </w:p>
    <w:p>
      <w:pPr>
        <w:pStyle w:val="ab"/>
      </w:pPr>
      <w:r>
        <w:t>在复合调味品方面，公司未来有哪些计划和布局？</w:t>
      </w:r>
    </w:p>
    <w:p>
      <w:r>
        <w:rPr>
          <w:rFonts w:ascii="等线(中文正文)" w:hAnsi="等线(中文正文)" w:cs="等线(中文正文)" w:eastAsia="等线(中文正文)"/>
          <w:b w:val="false"/>
          <w:i w:val="false"/>
          <w:sz w:val="20"/>
        </w:rPr>
        <w:t>发言人1：公司未来在复合调味品上将关注几个方面：首先，会在营养方面进行研究；其次，会对酵母相关项目进行关注；再者，会积极寻找行业头部公司进行合作。同时，为了确保复合调味品的健康营养及满足消费者需求，公司计划成立项目性的研发机构和团队，提升产品核心竞争力，而不仅仅是物理混合。</w:t>
      </w:r>
    </w:p>
    <w:p>
      <w:r>
        <w:rPr>
          <w:rFonts w:ascii="等线(中文正文)" w:hAnsi="等线(中文正文)" w:cs="等线(中文正文)" w:eastAsia="等线(中文正文)"/>
          <w:b w:val="false"/>
          <w:i w:val="false"/>
          <w:sz w:val="20"/>
        </w:rPr>
        <w:t/>
      </w:r>
    </w:p>
    <w:p>
      <w:pPr>
        <w:pStyle w:val="ab"/>
      </w:pPr>
      <w:r>
        <w:t>关于基础调味品业务，公司在渠道和价盘修复调整后的下一步增长计划以及主要抓手是什么？</w:t>
      </w:r>
    </w:p>
    <w:p>
      <w:r>
        <w:rPr>
          <w:rFonts w:ascii="等线(中文正文)" w:hAnsi="等线(中文正文)" w:cs="等线(中文正文)" w:eastAsia="等线(中文正文)"/>
          <w:b w:val="false"/>
          <w:i w:val="false"/>
          <w:sz w:val="20"/>
        </w:rPr>
        <w:t>发言人1：基础调味品业务中，渠道推动仍然是核心要素。公司会通过细分产品和价格带的优化，确保渠道环节利润持续稳定，并且优于竞争对手。为此，公司正在推进经销商健康体检表，利用终端数据管理系统及时跟进渠道表现。此外，公司还启动了终端普查工作，投入资源帮助经销商进行市场调查，以填补产品在终端市场的空白，并通过数据管理和终端精细化管理，逐步引入快消品调味品的终端管理模式。</w:t>
      </w:r>
    </w:p>
    <w:p>
      <w:r>
        <w:rPr>
          <w:rFonts w:ascii="等线(中文正文)" w:hAnsi="等线(中文正文)" w:cs="等线(中文正文)" w:eastAsia="等线(中文正文)"/>
          <w:b w:val="false"/>
          <w:i w:val="false"/>
          <w:sz w:val="20"/>
        </w:rPr>
        <w:t/>
      </w:r>
    </w:p>
    <w:p>
      <w:pPr>
        <w:pStyle w:val="ab"/>
      </w:pPr>
      <w:r>
        <w:t>公司在多元化的战略实施上，尤其是复合调味品和其他新业务板块，目前进展如何？能否给出今年的整体贡献指引？</w:t>
      </w:r>
    </w:p>
    <w:p>
      <w:r>
        <w:rPr>
          <w:rFonts w:ascii="等线(中文正文)" w:hAnsi="等线(中文正文)" w:cs="等线(中文正文)" w:eastAsia="等线(中文正文)"/>
          <w:b w:val="false"/>
          <w:i w:val="false"/>
          <w:sz w:val="20"/>
        </w:rPr>
        <w:t>发言人1：多元化战略方面，公司在基础调味品上已经取得显著成效，随着新产品的成功推出，能够为终端和经销商提供新的利润支撑点。接下来，公司将深化对其他渠道的拓展，提升研发能力，确保新产品成功率。同时，在复合调味品业务上，公司将结合餐饮市场的趋势，探索新的切入点，并通过电商合资公司打造从产品研发到消费者场景需求的完整生意模型，这些努力预计会支持公司实现高个位数增长。</w:t>
      </w:r>
    </w:p>
    <w:p>
      <w:r>
        <w:rPr>
          <w:rFonts w:ascii="等线(中文正文)" w:hAnsi="等线(中文正文)" w:cs="等线(中文正文)" w:eastAsia="等线(中文正文)"/>
          <w:b w:val="false"/>
          <w:i w:val="false"/>
          <w:sz w:val="20"/>
        </w:rPr>
        <w:t/>
      </w:r>
    </w:p>
    <w:p>
      <w:pPr>
        <w:pStyle w:val="ab"/>
      </w:pPr>
      <w:r>
        <w:t>对于调味品业务的长期净利率水平及在成本波动情况下的应对策略？</w:t>
      </w:r>
    </w:p>
    <w:p>
      <w:r>
        <w:rPr>
          <w:rFonts w:ascii="等线(中文正文)" w:hAnsi="等线(中文正文)" w:cs="等线(中文正文)" w:eastAsia="等线(中文正文)"/>
          <w:b w:val="false"/>
          <w:i w:val="false"/>
          <w:sz w:val="20"/>
        </w:rPr>
        <w:t>发言人1：关于调味品业务的长期净利率，公司表示在合理正常的成本水平下，叠加规模效应和生产效率提升，期望能实现一个健康的利润率。对于不可控风险带来的价格调整，公司会根据实际情况考虑是否采取主动提价措施来应对成本上升的压力。不过，仅看毛利率并不能全面反映企业的经营管理状况，企业需要综合分析不同品类、产品在不同发展阶段和区域的表现，以及如何在打造生意模型中建立适应市场变化的策略。</w:t>
      </w:r>
    </w:p>
    <w:p>
      <w:r>
        <w:rPr>
          <w:rFonts w:ascii="等线(中文正文)" w:hAnsi="等线(中文正文)" w:cs="等线(中文正文)" w:eastAsia="等线(中文正文)"/>
          <w:b w:val="false"/>
          <w:i w:val="false"/>
          <w:sz w:val="20"/>
        </w:rPr>
        <w:t/>
      </w:r>
    </w:p>
    <w:p>
      <w:pPr>
        <w:pStyle w:val="ab"/>
      </w:pPr>
      <w:r>
        <w:t>对于公司的毛利率变化，你们是如何计划进行管理的？</w:t>
      </w:r>
    </w:p>
    <w:p>
      <w:r>
        <w:rPr>
          <w:rFonts w:ascii="等线(中文正文)" w:hAnsi="等线(中文正文)" w:cs="等线(中文正文)" w:eastAsia="等线(中文正文)"/>
          <w:b w:val="false"/>
          <w:i w:val="false"/>
          <w:sz w:val="20"/>
        </w:rPr>
        <w:t>发言人1：我们计划通过深入分析和监控毛利率，将其细分为不同产品和主要品类，有针对性地解决成本问题，降低供应链成本。公司会以毛利率作为未来经营的重要参考值，进行细致分析、监控和调整，确保高速发展的同时兼顾规模与利润。</w:t>
      </w:r>
    </w:p>
    <w:p>
      <w:r>
        <w:rPr>
          <w:rFonts w:ascii="等线(中文正文)" w:hAnsi="等线(中文正文)" w:cs="等线(中文正文)" w:eastAsia="等线(中文正文)"/>
          <w:b w:val="false"/>
          <w:i w:val="false"/>
          <w:sz w:val="20"/>
        </w:rPr>
        <w:t/>
      </w:r>
    </w:p>
    <w:p>
      <w:pPr>
        <w:pStyle w:val="ab"/>
      </w:pPr>
      <w:r>
        <w:t>在公司战略目标设定上，利润和收入增长曲线如何设定？</w:t>
      </w:r>
    </w:p>
    <w:p>
      <w:r>
        <w:rPr>
          <w:rFonts w:ascii="等线(中文正文)" w:hAnsi="等线(中文正文)" w:cs="等线(中文正文)" w:eastAsia="等线(中文正文)"/>
          <w:b w:val="false"/>
          <w:i w:val="false"/>
          <w:sz w:val="20"/>
        </w:rPr>
        <w:t>发言人1：我们将围绕阶段性战略性目标来设定利润和收入增长曲线，在经营战略中明确这一关键点。公司的基本盘毛利率将通过新产品、供应链成本管理、费用精优化投放以及不同区域竞争过程中的需求发展，逐渐完善并提升毛利率在不同阶段对公司价值创造和贡献。</w:t>
      </w:r>
    </w:p>
    <w:p>
      <w:r>
        <w:rPr>
          <w:rFonts w:ascii="等线(中文正文)" w:hAnsi="等线(中文正文)" w:cs="等线(中文正文)" w:eastAsia="等线(中文正文)"/>
          <w:b w:val="false"/>
          <w:i w:val="false"/>
          <w:sz w:val="20"/>
        </w:rPr>
        <w:t/>
      </w:r>
    </w:p>
    <w:p>
      <w:pPr>
        <w:pStyle w:val="ab"/>
      </w:pPr>
      <w:r>
        <w:t>对于涨价策略，你们将如何监控和调整？</w:t>
      </w:r>
    </w:p>
    <w:p>
      <w:r>
        <w:rPr>
          <w:rFonts w:ascii="等线(中文正文)" w:hAnsi="等线(中文正文)" w:cs="等线(中文正文)" w:eastAsia="等线(中文正文)"/>
          <w:b w:val="false"/>
          <w:i w:val="false"/>
          <w:sz w:val="20"/>
        </w:rPr>
        <w:t>发言人1：我们将监控涨价幅度，若六个月后可能影响公司利润预算目标达成，我们会积极主动调整。涨价策略不仅考虑产品品类、区域差异以确保投资回报和预算目标，也关注与竞品应对成本压力的方式，这是体现组织能力的重要方面。无论是主动还是被动涨价，核心都是保证预算目标达成，并在预估行业普遍需要涨价时，利用公司准备情况采取调价措施。</w:t>
      </w:r>
    </w:p>
    <w:p>
      <w:r>
        <w:rPr>
          <w:rFonts w:ascii="等线(中文正文)" w:hAnsi="等线(中文正文)" w:cs="等线(中文正文)" w:eastAsia="等线(中文正文)"/>
          <w:b w:val="false"/>
          <w:i w:val="false"/>
          <w:sz w:val="20"/>
        </w:rPr>
        <w:t/>
      </w:r>
    </w:p>
    <w:p>
      <w:pPr>
        <w:pStyle w:val="ab"/>
      </w:pPr>
      <w:r>
        <w:t>在主动涨价决策中，除了考虑对手和过往，还有哪些因素？</w:t>
      </w:r>
    </w:p>
    <w:p>
      <w:r>
        <w:rPr>
          <w:rFonts w:ascii="等线(中文正文)" w:hAnsi="等线(中文正文)" w:cs="等线(中文正文)" w:eastAsia="等线(中文正文)"/>
          <w:b w:val="false"/>
          <w:i w:val="false"/>
          <w:sz w:val="20"/>
        </w:rPr>
        <w:t>发言人1：主动涨价更多基于预案执行过程中的评估结果，考虑公司是否具备涨价能力，并能给公司、经销商和终端带来更多的回报。同时，利用产品粘性和特色开发新产品，优化产品结构，消化原材料成本，从而实现公司利润预算目标。</w:t>
      </w:r>
    </w:p>
    <w:p>
      <w:r>
        <w:rPr>
          <w:rFonts w:ascii="等线(中文正文)" w:hAnsi="等线(中文正文)" w:cs="等线(中文正文)" w:eastAsia="等线(中文正文)"/>
          <w:b w:val="false"/>
          <w:i w:val="false"/>
          <w:sz w:val="20"/>
        </w:rPr>
        <w:t/>
      </w:r>
    </w:p>
    <w:p>
      <w:pPr>
        <w:pStyle w:val="ab"/>
      </w:pPr>
      <w:r>
        <w:t>土地收储问题能否给出详细进展和未来规划？</w:t>
      </w:r>
    </w:p>
    <w:p>
      <w:r>
        <w:rPr>
          <w:rFonts w:ascii="等线(中文正文)" w:hAnsi="等线(中文正文)" w:cs="等线(中文正文)" w:eastAsia="等线(中文正文)"/>
          <w:b w:val="false"/>
          <w:i w:val="false"/>
          <w:sz w:val="20"/>
        </w:rPr>
        <w:t>发言人1：根据广东省委支持中山参与粤港澳大湾区建设的相关意见，正推进珠江口东西两岸融合发展战略支点建设。在土地收储方面，正在根据高位规划和省委支持进行，且已取得一定进展，正在与开发区、公安局等部门密切沟通，催促收储工作的加快进行。关于收储到账情况，正通过省高度加大催促力度，相信不久会有成效。</w:t>
      </w:r>
    </w:p>
    <w:p>
      <w:r>
        <w:rPr>
          <w:rFonts w:ascii="等线(中文正文)" w:hAnsi="等线(中文正文)" w:cs="等线(中文正文)" w:eastAsia="等线(中文正文)"/>
          <w:b w:val="false"/>
          <w:i w:val="false"/>
          <w:sz w:val="20"/>
        </w:rPr>
        <w:t/>
      </w:r>
    </w:p>
    <w:p>
      <w:pPr>
        <w:pStyle w:val="ab"/>
      </w:pPr>
      <w:r>
        <w:t>对于主业剥离不相关行业，公司有何长远打算？</w:t>
      </w:r>
    </w:p>
    <w:p>
      <w:r>
        <w:rPr>
          <w:rFonts w:ascii="等线(中文正文)" w:hAnsi="等线(中文正文)" w:cs="等线(中文正文)" w:eastAsia="等线(中文正文)"/>
          <w:b w:val="false"/>
          <w:i w:val="false"/>
          <w:sz w:val="20"/>
        </w:rPr>
        <w:t>发言人1：公司将聚焦主业，剥离不相关行业并非为剥离而剥离，而是坚持整体时机与省委省政府整体战略相结合的原则。关注土地的整体价值和规划，不急于剥离具有潜在价值的土地资源，而是根据省委省政府的整体安排和区域优势做好土地规划。</w:t>
      </w:r>
    </w:p>
    <w:p>
      <w:r>
        <w:rPr>
          <w:rFonts w:ascii="等线(中文正文)" w:hAnsi="等线(中文正文)" w:cs="等线(中文正文)" w:eastAsia="等线(中文正文)"/>
          <w:b w:val="false"/>
          <w:i w:val="false"/>
          <w:sz w:val="20"/>
        </w:rPr>
        <w:t/>
      </w:r>
    </w:p>
    <w:p>
      <w:pPr>
        <w:pStyle w:val="ab"/>
      </w:pPr>
      <w:r>
        <w:t>能否对最新业绩和改革举措做出总结？</w:t>
      </w:r>
    </w:p>
    <w:p>
      <w:r>
        <w:rPr>
          <w:rFonts w:ascii="等线(中文正文)" w:hAnsi="等线(中文正文)" w:cs="等线(中文正文)" w:eastAsia="等线(中文正文)"/>
          <w:b w:val="false"/>
          <w:i w:val="false"/>
          <w:sz w:val="20"/>
        </w:rPr>
        <w:t>发言人1：公司在经历调整期后，采取了一系列具有中长期考量的举措，包括关注原材料采购、股东回报等。第一季度业绩拐点的出现体现了公司管理团队对业务和现金管理的重视。公司致力于让所有经销商都赚钱，加强与投资者沟通，接受并重视投资者意见，保持高透明度和负责任的态度。同时，政府对公司给予大力支持，大股东也在股价低点增持股份，表达对公司及投资者的信心。面对未来挑战，团队将勇于面对，以最佳策略推动公司下一个阶段的增长。</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num w:numId="1">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2026-04-21T00:45:12Z</dcterms:created>
  <dc:creator>Apache POI</dc:creator>
</cp:coreProperties>
</file>