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华创固收 - 哪里还有利差压缩空间？——周观点系列会议303期 260420_导读</w:t>
      </w:r>
    </w:p>
    <w:p>
      <w:pPr>
        <w:pStyle w:val="a0"/>
        <w:jc w:val="center"/>
      </w:pPr>
      <w:r>
        <w:t>2026年04月20日 22:02</w:t>
      </w:r>
    </w:p>
    <w:p>
      <w:pPr>
        <w:pStyle w:val="a7"/>
      </w:pPr>
      <w:r>
        <w:t>关键词</w:t>
      </w:r>
    </w:p>
    <w:p>
      <w:r>
        <w:rPr>
          <w:rFonts w:ascii="等线(中文正文)" w:hAnsi="等线(中文正文)" w:cs="等线(中文正文)" w:eastAsia="等线(中文正文)"/>
          <w:b w:val="false"/>
          <w:i w:val="false"/>
          <w:sz w:val="20"/>
        </w:rPr>
        <w:t xml:space="preserve">债券市场 资管钱多 利差压缩 理财规模 纯债基金 申购数据 二季度 市场表现 基金赎回新规 存款搬家 规模增长 市场久期 期限利差 配置需求 资金条件 基金净买入 银行理财 十年期国债 资金价格 短端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会议热烈欢迎与会者，对大家的参与表达了深切的感谢，并强调了会议的正式开始，同时提醒所有参与者保持在线状态，以确保会议的顺利进行。本次会议内容专注于深入讨论债券市场、最新经济数据、信用策略及转债市场的观点，旨在分享专业见解和市场分析，帮助与会者更好地理解当前复杂的经济和金融市场状况，从而为投资决策提供支持。会议特别提到了对特定政策的解读、信用策略的未来展望，以及对转债市场的详细分析，强调了在当前市场环境下，审慎参与投资、关注结构性机会的重要性。整个会议强调了信息的时效性和专业性，力求为与会者提供有价值的洞见和市场趋势分析，体现了对参与者时间的尊重和对会议成功举办的期望。</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会议即将开始的欢迎与通知</w:t>
      </w:r>
    </w:p>
    <w:p>
      <w:r>
        <w:rPr>
          <w:rFonts w:ascii="等线(中文正文)" w:hAnsi="等线(中文正文)" w:cs="等线(中文正文)" w:eastAsia="等线(中文正文)"/>
          <w:b w:val="false"/>
          <w:i w:val="false"/>
          <w:sz w:val="20"/>
        </w:rPr>
        <w:t>会议主持人连续多次欢迎与会者，感谢大家的参与，并告知会议即将开始，请所有参与者保持在线状态。此外，还提供了关注公众号获取更多会议纪要的方式。</w:t>
      </w:r>
    </w:p>
    <w:p>
      <w:r>
        <w:rPr>
          <w:rFonts w:ascii="等线(中文正文)" w:hAnsi="等线(中文正文)" w:cs="等线(中文正文)" w:eastAsia="等线(中文正文)"/>
          <w:b w:val="false"/>
          <w:i w:val="false"/>
          <w:sz w:val="20"/>
        </w:rPr>
        <w:t/>
      </w:r>
    </w:p>
    <w:p>
      <w:pPr>
        <w:pStyle w:val="ab"/>
        <w:numPr>
          <w:numId w:val="2"/>
        </w:numPr>
      </w:pPr>
      <w:r>
        <w:t>10:46 会议即将开始的提醒</w:t>
      </w:r>
    </w:p>
    <w:p>
      <w:r>
        <w:rPr>
          <w:rFonts w:ascii="等线(中文正文)" w:hAnsi="等线(中文正文)" w:cs="等线(中文正文)" w:eastAsia="等线(中文正文)"/>
          <w:b w:val="false"/>
          <w:i w:val="false"/>
          <w:sz w:val="20"/>
        </w:rPr>
        <w:t>会议主持人多次提醒与会者会议即将开始，请求大家保持在线，耐心等待会议正式开始。</w:t>
      </w:r>
    </w:p>
    <w:p>
      <w:r>
        <w:rPr>
          <w:rFonts w:ascii="等线(中文正文)" w:hAnsi="等线(中文正文)" w:cs="等线(中文正文)" w:eastAsia="等线(中文正文)"/>
          <w:b w:val="false"/>
          <w:i w:val="false"/>
          <w:sz w:val="20"/>
        </w:rPr>
        <w:t/>
      </w:r>
    </w:p>
    <w:p>
      <w:pPr>
        <w:pStyle w:val="ab"/>
        <w:numPr>
          <w:numId w:val="3"/>
        </w:numPr>
      </w:pPr>
      <w:r>
        <w:t>17:57 二季度债市行情分析与信用策略</w:t>
      </w:r>
    </w:p>
    <w:p>
      <w:r>
        <w:rPr>
          <w:rFonts w:ascii="等线(中文正文)" w:hAnsi="等线(中文正文)" w:cs="等线(中文正文)" w:eastAsia="等线(中文正文)"/>
          <w:b w:val="false"/>
          <w:i w:val="false"/>
          <w:sz w:val="20"/>
        </w:rPr>
        <w:t>会议讨论了二季度债市行情，强调了资管资金多带来的配置需求和利差压缩现象，以及信用策略的选择要点，同时分析了三月经济数据对Q1及Q2的影响。</w:t>
      </w:r>
    </w:p>
    <w:p>
      <w:r>
        <w:rPr>
          <w:rFonts w:ascii="等线(中文正文)" w:hAnsi="等线(中文正文)" w:cs="等线(中文正文)" w:eastAsia="等线(中文正文)"/>
          <w:b w:val="false"/>
          <w:i w:val="false"/>
          <w:sz w:val="20"/>
        </w:rPr>
        <w:t/>
      </w:r>
    </w:p>
    <w:p>
      <w:pPr>
        <w:pStyle w:val="ab"/>
        <w:numPr>
          <w:numId w:val="4"/>
        </w:numPr>
      </w:pPr>
      <w:r>
        <w:t>23:04 二季度理财规模增长与资管钱多逻辑分析</w:t>
      </w:r>
    </w:p>
    <w:p>
      <w:r>
        <w:rPr>
          <w:rFonts w:ascii="等线(中文正文)" w:hAnsi="等线(中文正文)" w:cs="等线(中文正文)" w:eastAsia="等线(中文正文)"/>
          <w:b w:val="false"/>
          <w:i w:val="false"/>
          <w:sz w:val="20"/>
        </w:rPr>
        <w:t>对话讨论了今年一季度理财规模下降后，二季度理财规模显著增长的现象，指出资管行业资金充裕，特别是纯债基金申购数据超季节性好转，带动市场表现。分析认为，资管资金多的逻辑将持续影响市场，尤其是在四月下旬至五月上中旬，利差小幅压缩行情可能持续。</w:t>
      </w:r>
    </w:p>
    <w:p>
      <w:r>
        <w:rPr>
          <w:rFonts w:ascii="等线(中文正文)" w:hAnsi="等线(中文正文)" w:cs="等线(中文正文)" w:eastAsia="等线(中文正文)"/>
          <w:b w:val="false"/>
          <w:i w:val="false"/>
          <w:sz w:val="20"/>
        </w:rPr>
        <w:t/>
      </w:r>
    </w:p>
    <w:p>
      <w:pPr>
        <w:pStyle w:val="ab"/>
        <w:numPr>
          <w:numId w:val="5"/>
        </w:numPr>
      </w:pPr>
      <w:r>
        <w:t>28:05 资管资金多能否推动十年期国债快速下破</w:t>
      </w:r>
    </w:p>
    <w:p>
      <w:r>
        <w:rPr>
          <w:rFonts w:ascii="等线(中文正文)" w:hAnsi="等线(中文正文)" w:cs="等线(中文正文)" w:eastAsia="等线(中文正文)"/>
          <w:b w:val="false"/>
          <w:i w:val="false"/>
          <w:sz w:val="20"/>
        </w:rPr>
        <w:t>讨论了资管资金增加是否能促使十年期国债收益率快速下降。分析指出，当前资金价格已处于极低水平，政策利率降息预期较低，短端资金波动小，整体市场维持平稳状态。对于长端债券，如十年期国债，其收益率趋势性下破空间有限，更可能通过压缩利差的方式调整，而非出现大幅下跌。</w:t>
      </w:r>
    </w:p>
    <w:p>
      <w:r>
        <w:rPr>
          <w:rFonts w:ascii="等线(中文正文)" w:hAnsi="等线(中文正文)" w:cs="等线(中文正文)" w:eastAsia="等线(中文正文)"/>
          <w:b w:val="false"/>
          <w:i w:val="false"/>
          <w:sz w:val="20"/>
        </w:rPr>
        <w:t/>
      </w:r>
    </w:p>
    <w:p>
      <w:pPr>
        <w:pStyle w:val="ab"/>
        <w:numPr>
          <w:numId w:val="6"/>
        </w:numPr>
      </w:pPr>
      <w:r>
        <w:t>29:43 央行操作与资金价格波动分析</w:t>
      </w:r>
    </w:p>
    <w:p>
      <w:r>
        <w:rPr>
          <w:rFonts w:ascii="等线(中文正文)" w:hAnsi="等线(中文正文)" w:cs="等线(中文正文)" w:eastAsia="等线(中文正文)"/>
          <w:b w:val="false"/>
          <w:i w:val="false"/>
          <w:sz w:val="20"/>
        </w:rPr>
        <w:t>对话围绕央行操作对资金价格的影响展开，指出当前资金价格处于低位，受央行临时隔夜正回购约束，预计PPI上行过程中央行不会降息。分析认为，资金自然宽松状态将持续，直至出现重大资金缺口，如税期与政府债券发行叠加时，资金价格波动将更加明显，预计观察时间点为5月中旬。</w:t>
      </w:r>
    </w:p>
    <w:p>
      <w:r>
        <w:rPr>
          <w:rFonts w:ascii="等线(中文正文)" w:hAnsi="等线(中文正文)" w:cs="等线(中文正文)" w:eastAsia="等线(中文正文)"/>
          <w:b w:val="false"/>
          <w:i w:val="false"/>
          <w:sz w:val="20"/>
        </w:rPr>
        <w:t/>
      </w:r>
    </w:p>
    <w:p>
      <w:pPr>
        <w:pStyle w:val="ab"/>
        <w:numPr>
          <w:numId w:val="7"/>
        </w:numPr>
      </w:pPr>
      <w:r>
        <w:t>32:23 债券市场利差压缩操作策略分析</w:t>
      </w:r>
    </w:p>
    <w:p>
      <w:r>
        <w:rPr>
          <w:rFonts w:ascii="等线(中文正文)" w:hAnsi="等线(中文正文)" w:cs="等线(中文正文)" w:eastAsia="等线(中文正文)"/>
          <w:b w:val="false"/>
          <w:i w:val="false"/>
          <w:sz w:val="20"/>
        </w:rPr>
        <w:t>对话深入探讨了在当前债券市场环境下，如何通过利差压缩策略优化投资组合。首先，介绍了三维度比价模型，用于评估不同利率品种的持有期收益、期限利差和品种利差，指出20年期债券表现突出。其次，通过对比去年二季度的利差压缩行情，预测当前空间，如30减10国债利差有3.6BP的空间。最后，建议关注活跃券与次活跃券的流动性溢价操作，强调在无趋势行情下应采取快进快出策略，审慎操作。整体上，资管资金配置和宽松的资金价格支持了利差压缩行情，但空间有限，需细致择券。</w:t>
      </w:r>
    </w:p>
    <w:p>
      <w:r>
        <w:rPr>
          <w:rFonts w:ascii="等线(中文正文)" w:hAnsi="等线(中文正文)" w:cs="等线(中文正文)" w:eastAsia="等线(中文正文)"/>
          <w:b w:val="false"/>
          <w:i w:val="false"/>
          <w:sz w:val="20"/>
        </w:rPr>
        <w:t/>
      </w:r>
    </w:p>
    <w:p>
      <w:pPr>
        <w:pStyle w:val="ab"/>
        <w:numPr>
          <w:numId w:val="8"/>
        </w:numPr>
      </w:pPr>
      <w:r>
        <w:t>37:17 三月进出口数据解析：出口弱于预期，进口超预期</w:t>
      </w:r>
    </w:p>
    <w:p>
      <w:r>
        <w:rPr>
          <w:rFonts w:ascii="等线(中文正文)" w:hAnsi="等线(中文正文)" w:cs="等线(中文正文)" w:eastAsia="等线(中文正文)"/>
          <w:b w:val="false"/>
          <w:i w:val="false"/>
          <w:sz w:val="20"/>
        </w:rPr>
        <w:t>讨论了三月出口弱于预期的原因，包括高基数效应、春节影响及劳动密集型产品出口放缓，但资本密集型产品表现平稳。进口方面，大宗品价格上行支撑进口增长，中游商品进口加速，而下游汽车进口受低基数影响下滑。未来出口有望修复，进口价格支撑可能持续，但需关注终端需求温和修复及涨价对需求的抑制作用。</w:t>
      </w:r>
    </w:p>
    <w:p>
      <w:r>
        <w:rPr>
          <w:rFonts w:ascii="等线(中文正文)" w:hAnsi="等线(中文正文)" w:cs="等线(中文正文)" w:eastAsia="等线(中文正文)"/>
          <w:b w:val="false"/>
          <w:i w:val="false"/>
          <w:sz w:val="20"/>
        </w:rPr>
        <w:t/>
      </w:r>
    </w:p>
    <w:p>
      <w:pPr>
        <w:pStyle w:val="ab"/>
        <w:numPr>
          <w:numId w:val="9"/>
        </w:numPr>
      </w:pPr>
      <w:r>
        <w:t>45:08 一季度经济数据解析：服务业高增与出口韧性</w:t>
      </w:r>
    </w:p>
    <w:p>
      <w:r>
        <w:rPr>
          <w:rFonts w:ascii="等线(中文正文)" w:hAnsi="等线(中文正文)" w:cs="等线(中文正文)" w:eastAsia="等线(中文正文)"/>
          <w:b w:val="false"/>
          <w:i w:val="false"/>
          <w:sz w:val="20"/>
        </w:rPr>
        <w:t>一季度GDP增速5%，服务业尤其是租赁商务、信息传输和金融业显著增长，拉动经济增长。尽管出口受汇率影响放缓，但服务业消费表现强劲，预计对GDP有较强拉动作用。二季度经济增速可能放缓，但出口韧性与内需分化格局值得关注。</w:t>
      </w:r>
    </w:p>
    <w:p>
      <w:r>
        <w:rPr>
          <w:rFonts w:ascii="等线(中文正文)" w:hAnsi="等线(中文正文)" w:cs="等线(中文正文)" w:eastAsia="等线(中文正文)"/>
          <w:b w:val="false"/>
          <w:i w:val="false"/>
          <w:sz w:val="20"/>
        </w:rPr>
        <w:t/>
      </w:r>
    </w:p>
    <w:p>
      <w:pPr>
        <w:pStyle w:val="ab"/>
        <w:numPr>
          <w:numId w:val="10"/>
        </w:numPr>
      </w:pPr>
      <w:r>
        <w:t>50:51 信用债市场表现与策略展望</w:t>
      </w:r>
    </w:p>
    <w:p>
      <w:r>
        <w:rPr>
          <w:rFonts w:ascii="等线(中文正文)" w:hAnsi="等线(中文正文)" w:cs="等线(中文正文)" w:eastAsia="等线(中文正文)"/>
          <w:b w:val="false"/>
          <w:i w:val="false"/>
          <w:sz w:val="20"/>
        </w:rPr>
        <w:t>对话深入探讨了年初以来信用债市场的表现，指出短端利差已压缩至极致水平，中长端利差持续收窄，其中四年期信用债对组合收益贡献最大。策略上，拉长久期虽增加波动，但性价比高，下沉策略与板块切换可增厚收益。展望未来，债市走势乐观，建议挖掘曲线凸点，关注期限利差高的品种。信用利差虽有补涨动能，但进一步收窄空间有限，需谨慎操作。</w:t>
      </w:r>
    </w:p>
    <w:p>
      <w:r>
        <w:rPr>
          <w:rFonts w:ascii="等线(中文正文)" w:hAnsi="等线(中文正文)" w:cs="等线(中文正文)" w:eastAsia="等线(中文正文)"/>
          <w:b w:val="false"/>
          <w:i w:val="false"/>
          <w:sz w:val="20"/>
        </w:rPr>
        <w:t/>
      </w:r>
    </w:p>
    <w:p>
      <w:pPr>
        <w:pStyle w:val="ab"/>
        <w:numPr>
          <w:numId w:val="11"/>
        </w:numPr>
      </w:pPr>
      <w:r>
        <w:t>58:03 债券市场政策与评级监管动态分析</w:t>
      </w:r>
    </w:p>
    <w:p>
      <w:r>
        <w:rPr>
          <w:rFonts w:ascii="等线(中文正文)" w:hAnsi="等线(中文正文)" w:cs="等线(中文正文)" w:eastAsia="等线(中文正文)"/>
          <w:b w:val="false"/>
          <w:i w:val="false"/>
          <w:sz w:val="20"/>
        </w:rPr>
        <w:t>对话深入探讨了债券市场政策的最新变化，特别是产业债审核标准趋严的趋势及原因，以及监管机构对评级虚高和恶意竞争的严格管控。同时，对存量债券评级调整压力进行了评估，并指出经济发展稳定的企业受政策影响较小。最后，强调了关注区域内外相关主体瑕疵的重要性，以及转债市场的最新观点。</w:t>
      </w:r>
    </w:p>
    <w:p>
      <w:r>
        <w:rPr>
          <w:rFonts w:ascii="等线(中文正文)" w:hAnsi="等线(中文正文)" w:cs="等线(中文正文)" w:eastAsia="等线(中文正文)"/>
          <w:b w:val="false"/>
          <w:i w:val="false"/>
          <w:sz w:val="20"/>
        </w:rPr>
        <w:t/>
      </w:r>
    </w:p>
    <w:p>
      <w:pPr>
        <w:pStyle w:val="ab"/>
        <w:numPr>
          <w:numId w:val="12"/>
        </w:numPr>
      </w:pPr>
      <w:r>
        <w:t>01:01:59 转债市场分析与下修条款博弈策略</w:t>
      </w:r>
    </w:p>
    <w:p>
      <w:r>
        <w:rPr>
          <w:rFonts w:ascii="等线(中文正文)" w:hAnsi="等线(中文正文)" w:cs="等线(中文正文)" w:eastAsia="等线(中文正文)"/>
          <w:b w:val="false"/>
          <w:i w:val="false"/>
          <w:sz w:val="20"/>
        </w:rPr>
        <w:t>报告讨论了转债市场近期走势，指出尽管全球权益市场普遍修复，但转债估值接近前高需谨慎对待。分析了下修条款博弈收益弱化的原因，包括博弈点前置、转债市场老龄化及正股波动率低等因素。建议参与下修博弈时应提前布局，关注有一定剩余期限和正股波动率较高的品种。</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首先对会议的参与人员表示了欢迎，并提醒大家会议即将开始，同时表达了对所有支持与参与者的深切感谢。随后，他深入介绍了会议的各个环节，包括日程安排、市场观点分享、经济数据解读、信用策略探讨以及转债市场情况分析，展现了会议旨在为参与者提供全面市场洞见和投资策略建议的目标。在发言中，他特别强调了会议的主要议题，涉及近期市场动态、季度观点交流、经济数据的影响及未来展望，体现了对会议高效进行和促进深度讨论的高度重视。通过这一系列的介绍和讨论，他确保了会议内容的丰富性和针对性，为参会者提供了有价值的市场分析和策略指导。</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问：感谢大家参加本次会议，会议即将开始，请稍后。这句话是否会重复播放？</w:t>
      </w:r>
    </w:p>
    <w:p>
      <w:r>
        <w:rPr>
          <w:rFonts w:ascii="等线(中文正文)" w:hAnsi="等线(中文正文)" w:cs="等线(中文正文)" w:eastAsia="等线(中文正文)"/>
          <w:b w:val="false"/>
          <w:i w:val="false"/>
          <w:sz w:val="20"/>
        </w:rPr>
        <w:t>发言人1 答：是的，这句话会持续播放，直到会议正式开始。</w:t>
      </w:r>
    </w:p>
    <w:p>
      <w:r>
        <w:rPr>
          <w:rFonts w:ascii="等线(中文正文)" w:hAnsi="等线(中文正文)" w:cs="等线(中文正文)" w:eastAsia="等线(中文正文)"/>
          <w:b w:val="false"/>
          <w:i w:val="false"/>
          <w:sz w:val="20"/>
        </w:rPr>
        <w:t/>
      </w:r>
    </w:p>
    <w:p>
      <w:pPr>
        <w:pStyle w:val="ab"/>
      </w:pPr>
      <w:r>
        <w:t>发言人1 问：现在讨论的是什么会议内容？</w:t>
      </w:r>
    </w:p>
    <w:p>
      <w:r>
        <w:rPr>
          <w:rFonts w:ascii="等线(中文正文)" w:hAnsi="等线(中文正文)" w:cs="等线(中文正文)" w:eastAsia="等线(中文正文)"/>
          <w:b w:val="false"/>
          <w:i w:val="false"/>
          <w:sz w:val="20"/>
        </w:rPr>
        <w:t>发言人1 答：会议内容是华创固收团队的每周一晚上八点的周观点交流会，主要讨论近期市场观点、专题分析以及债市整体看法。</w:t>
      </w:r>
    </w:p>
    <w:p>
      <w:r>
        <w:rPr>
          <w:rFonts w:ascii="等线(中文正文)" w:hAnsi="等线(中文正文)" w:cs="等线(中文正文)" w:eastAsia="等线(中文正文)"/>
          <w:b w:val="false"/>
          <w:i w:val="false"/>
          <w:sz w:val="20"/>
        </w:rPr>
        <w:t/>
      </w:r>
    </w:p>
    <w:p>
      <w:pPr>
        <w:pStyle w:val="ab"/>
      </w:pPr>
      <w:r>
        <w:t>发言人1 问：债市整体观点如何？</w:t>
      </w:r>
    </w:p>
    <w:p>
      <w:r>
        <w:rPr>
          <w:rFonts w:ascii="等线(中文正文)" w:hAnsi="等线(中文正文)" w:cs="等线(中文正文)" w:eastAsia="等线(中文正文)"/>
          <w:b w:val="false"/>
          <w:i w:val="false"/>
          <w:sz w:val="20"/>
        </w:rPr>
        <w:t>发言人1 答：从三月下旬开始，华创固收团队对整体债券市场的看法较为积极，并在四月月报中建议投资者在二季度做好全年安全垫。过去两周市场表现验证了这一观点，尽管行情在短端、中端、长端之间波动，但总体上符合资管资金增多带来的配置需求和压缩利差的市场表现。</w:t>
      </w:r>
    </w:p>
    <w:p>
      <w:r>
        <w:rPr>
          <w:rFonts w:ascii="等线(中文正文)" w:hAnsi="等线(中文正文)" w:cs="等线(中文正文)" w:eastAsia="等线(中文正文)"/>
          <w:b w:val="false"/>
          <w:i w:val="false"/>
          <w:sz w:val="20"/>
        </w:rPr>
        <w:t/>
      </w:r>
    </w:p>
    <w:p>
      <w:pPr>
        <w:pStyle w:val="ab"/>
      </w:pPr>
      <w:r>
        <w:t>发言人1 问：当前债市行情的主要驱动因素是什么？</w:t>
      </w:r>
    </w:p>
    <w:p>
      <w:r>
        <w:rPr>
          <w:rFonts w:ascii="等线(中文正文)" w:hAnsi="等线(中文正文)" w:cs="等线(中文正文)" w:eastAsia="等线(中文正文)"/>
          <w:b w:val="false"/>
          <w:i w:val="false"/>
          <w:sz w:val="20"/>
        </w:rPr>
        <w:t>发言人1 答：当前债市行情的跳跃性表现主要符合二季度资管资金增多带来的配置需求，而非像三月底那样受到资金价格极度宽松的影响。资管资金在没有明确降息等趋势性因素定价的情况下，倾向于在十年期国债维持窄区间波动时寻找高利差产品进行配置。</w:t>
      </w:r>
    </w:p>
    <w:p>
      <w:r>
        <w:rPr>
          <w:rFonts w:ascii="等线(中文正文)" w:hAnsi="等线(中文正文)" w:cs="等线(中文正文)" w:eastAsia="等线(中文正文)"/>
          <w:b w:val="false"/>
          <w:i w:val="false"/>
          <w:sz w:val="20"/>
        </w:rPr>
        <w:t/>
      </w:r>
    </w:p>
    <w:p>
      <w:pPr>
        <w:pStyle w:val="ab"/>
      </w:pPr>
      <w:r>
        <w:t>发言人1 问：在当前的市场环境下，期限利差、品种利差和信用利差的波动是否符合资管行业资金较多、利差压缩的现象？</w:t>
      </w:r>
    </w:p>
    <w:p>
      <w:r>
        <w:rPr>
          <w:rFonts w:ascii="等线(中文正文)" w:hAnsi="等线(中文正文)" w:cs="等线(中文正文)" w:eastAsia="等线(中文正文)"/>
          <w:b w:val="false"/>
          <w:i w:val="false"/>
          <w:sz w:val="20"/>
        </w:rPr>
        <w:t>发言人1 答：是的，目前市场的相对跳跃行情确实与二季度资管资金增多、利差压缩的情况相吻合。随着季末存款回调后理财规模的明显放量，以及投资者对存款搬家的关注，这些因素共同导致了当前的行情变化。</w:t>
      </w:r>
    </w:p>
    <w:p>
      <w:r>
        <w:rPr>
          <w:rFonts w:ascii="等线(中文正文)" w:hAnsi="等线(中文正文)" w:cs="等线(中文正文)" w:eastAsia="等线(中文正文)"/>
          <w:b w:val="false"/>
          <w:i w:val="false"/>
          <w:sz w:val="20"/>
        </w:rPr>
        <w:t/>
      </w:r>
    </w:p>
    <w:p>
      <w:pPr>
        <w:pStyle w:val="ab"/>
      </w:pPr>
      <w:r>
        <w:t>发言人1 问：从数据上来看，二季度理财规模增长是否超出预期？</w:t>
      </w:r>
    </w:p>
    <w:p>
      <w:r>
        <w:rPr>
          <w:rFonts w:ascii="等线(中文正文)" w:hAnsi="等线(中文正文)" w:cs="等线(中文正文)" w:eastAsia="等线(中文正文)"/>
          <w:b w:val="false"/>
          <w:i w:val="false"/>
          <w:sz w:val="20"/>
        </w:rPr>
        <w:t>发言人1 答：根据三方普及标准的数据，截至4月17日，月内理财规模增长了1.85万亿，超过了2024年到2025年同期平均水平的1.73万亿，并且有望达到2.6万亿的历史高位水平，这表明理财规模的增长是落地实现的，并且超过了一些人的预期。</w:t>
      </w:r>
    </w:p>
    <w:p>
      <w:r>
        <w:rPr>
          <w:rFonts w:ascii="等线(中文正文)" w:hAnsi="等线(中文正文)" w:cs="等线(中文正文)" w:eastAsia="等线(中文正文)"/>
          <w:b w:val="false"/>
          <w:i w:val="false"/>
          <w:sz w:val="20"/>
        </w:rPr>
        <w:t/>
      </w:r>
    </w:p>
    <w:p>
      <w:pPr>
        <w:pStyle w:val="ab"/>
      </w:pPr>
      <w:r>
        <w:t>发言人1 问：理财资金快速增加是否带动了纯债基金的申购热潮？</w:t>
      </w:r>
    </w:p>
    <w:p>
      <w:r>
        <w:rPr>
          <w:rFonts w:ascii="等线(中文正文)" w:hAnsi="等线(中文正文)" w:cs="等线(中文正文)" w:eastAsia="等线(中文正文)"/>
          <w:b w:val="false"/>
          <w:i w:val="false"/>
          <w:sz w:val="20"/>
        </w:rPr>
        <w:t>发言人1 答：是的，从三月下旬开始，纯债基金的申购数据出现了明显的超季节性好转，相较于2024年和2025年同期，2026年的纯债基金申购量更高，显示出资金对于固定收益产品的强烈需求。</w:t>
      </w:r>
    </w:p>
    <w:p>
      <w:r>
        <w:rPr>
          <w:rFonts w:ascii="等线(中文正文)" w:hAnsi="等线(中文正文)" w:cs="等线(中文正文)" w:eastAsia="等线(中文正文)"/>
          <w:b w:val="false"/>
          <w:i w:val="false"/>
          <w:sz w:val="20"/>
        </w:rPr>
        <w:t/>
      </w:r>
    </w:p>
    <w:p>
      <w:pPr>
        <w:pStyle w:val="ab"/>
      </w:pPr>
      <w:r>
        <w:t>发言人1 问：理财和基金规模的增长是否意味着资管行业有钱，并且大量购买了债券？</w:t>
      </w:r>
    </w:p>
    <w:p>
      <w:r>
        <w:rPr>
          <w:rFonts w:ascii="等线(中文正文)" w:hAnsi="等线(中文正文)" w:cs="等线(中文正文)" w:eastAsia="等线(中文正文)"/>
          <w:b w:val="false"/>
          <w:i w:val="false"/>
          <w:sz w:val="20"/>
        </w:rPr>
        <w:t>发言人1 答：是的，从理财和基金购买债券的数据来看，资管行业的资金确实较多，并且有明显的买债行为，尤其是理财购买债券的规模在三月下旬后快速扩张，且期限上呈现由短及长的配置特征。同时，公募基金规模的增长也带动了净买入数据的持续上涨，整体市场久期有所上升。</w:t>
      </w:r>
    </w:p>
    <w:p>
      <w:r>
        <w:rPr>
          <w:rFonts w:ascii="等线(中文正文)" w:hAnsi="等线(中文正文)" w:cs="等线(中文正文)" w:eastAsia="等线(中文正文)"/>
          <w:b w:val="false"/>
          <w:i w:val="false"/>
          <w:sz w:val="20"/>
        </w:rPr>
        <w:t/>
      </w:r>
    </w:p>
    <w:p>
      <w:pPr>
        <w:pStyle w:val="ab"/>
      </w:pPr>
      <w:r>
        <w:t>发言人1 问：银行理财二级累计净买入的情况如何？能否支撑资管行业资金较多的现象？</w:t>
      </w:r>
    </w:p>
    <w:p>
      <w:r>
        <w:rPr>
          <w:rFonts w:ascii="等线(中文正文)" w:hAnsi="等线(中文正文)" w:cs="等线(中文正文)" w:eastAsia="等线(中文正文)"/>
          <w:b w:val="false"/>
          <w:i w:val="false"/>
          <w:sz w:val="20"/>
        </w:rPr>
        <w:t>发言人1 答：尽管银行理财在购买基金方面的净买入规模高于2024年和2025年，但二级累积净买入数据并未超过这两个年份，显示理财在购买债券时受到一定限制。不过，我们认为理财有钱的逻辑在未来一段时间内仍将持续，尤其是在四月下旬至五月上中旬，资管钱多带来的利差压缩行情可能会持续。</w:t>
      </w:r>
    </w:p>
    <w:p>
      <w:r>
        <w:rPr>
          <w:rFonts w:ascii="等线(中文正文)" w:hAnsi="等线(中文正文)" w:cs="等线(中文正文)" w:eastAsia="等线(中文正文)"/>
          <w:b w:val="false"/>
          <w:i w:val="false"/>
          <w:sz w:val="20"/>
        </w:rPr>
        <w:t/>
      </w:r>
    </w:p>
    <w:p>
      <w:pPr>
        <w:pStyle w:val="ab"/>
      </w:pPr>
      <w:r>
        <w:t>发言人1 问：资金价格极低和政策利率降息预期较低的情况下，是否有可能出现十年期国债快速向下突破的情况？</w:t>
      </w:r>
    </w:p>
    <w:p>
      <w:r>
        <w:rPr>
          <w:rFonts w:ascii="等线(中文正文)" w:hAnsi="等线(中文正文)" w:cs="等线(中文正文)" w:eastAsia="等线(中文正文)"/>
          <w:b w:val="false"/>
          <w:i w:val="false"/>
          <w:sz w:val="20"/>
        </w:rPr>
        <w:t>发言人1 答：目前来看，由于政策利率降息预期较低，且资金价格已处于较低水平，因此从货币条件分析，短端资金维持平稳，整体曲线可以压缩利差，但趋势性向下突破的空间有限。对于长端如十年期国债，想要趋势性压缩利差至1.75以下难度较大，主要是基于权益市场的表现尚未完全回到债市定价为主的阶段。</w:t>
      </w:r>
    </w:p>
    <w:p>
      <w:r>
        <w:rPr>
          <w:rFonts w:ascii="等线(中文正文)" w:hAnsi="等线(中文正文)" w:cs="等线(中文正文)" w:eastAsia="等线(中文正文)"/>
          <w:b w:val="false"/>
          <w:i w:val="false"/>
          <w:sz w:val="20"/>
        </w:rPr>
        <w:t/>
      </w:r>
    </w:p>
    <w:p>
      <w:pPr>
        <w:pStyle w:val="ab"/>
      </w:pPr>
      <w:r>
        <w:t>发言人1 问：央行近期的操作对资金市场有何影响？</w:t>
      </w:r>
    </w:p>
    <w:p>
      <w:r>
        <w:rPr>
          <w:rFonts w:ascii="等线(中文正文)" w:hAnsi="等线(中文正文)" w:cs="等线(中文正文)" w:eastAsia="等线(中文正文)"/>
          <w:b w:val="false"/>
          <w:i w:val="false"/>
          <w:sz w:val="20"/>
        </w:rPr>
        <w:t>发言人1 答：虽然央行目前在进行小幅收钱的操作，比如停止OMO量操作并调整买断式回购，但最佳的资金自然收敛时间窗口需要等待出现大的资金缺口。当前银行溶出数据处于历史高位，即使面临税期等资金压力，资金面仍相对宽松。资金价格的波动会在5月中旬税期叠加政府债券发行后进一步观察。</w:t>
      </w:r>
    </w:p>
    <w:p>
      <w:r>
        <w:rPr>
          <w:rFonts w:ascii="等线(中文正文)" w:hAnsi="等线(中文正文)" w:cs="等线(中文正文)" w:eastAsia="等线(中文正文)"/>
          <w:b w:val="false"/>
          <w:i w:val="false"/>
          <w:sz w:val="20"/>
        </w:rPr>
        <w:t/>
      </w:r>
    </w:p>
    <w:p>
      <w:pPr>
        <w:pStyle w:val="ab"/>
      </w:pPr>
      <w:r>
        <w:t>发言人1 问：当前环境下利差压缩的操作有哪些思路？当前哪些具体利差压缩品种值得关注？</w:t>
      </w:r>
    </w:p>
    <w:p>
      <w:r>
        <w:rPr>
          <w:rFonts w:ascii="等线(中文正文)" w:hAnsi="等线(中文正文)" w:cs="等线(中文正文)" w:eastAsia="等线(中文正文)"/>
          <w:b w:val="false"/>
          <w:i w:val="false"/>
          <w:sz w:val="20"/>
        </w:rPr>
        <w:t>发言人1 答：对于利差压缩操作，我们梳理了三条主要思路。首先，使用我们从去年四月份开始就一直在用的“三维度比价模型”，通过比较各个利率品种三个月持有期收益、期限利差和品种利差来找到最佳比价点，目前四年期证金债、十年期证金债以及15-20年期地方债表现较好。其次，参考去年二季度的利差压缩行情，对比当前市场位置和空间。最后，关注细节策略，如换券策略和个券策略，比如近期30年国债的不同活跃券间的利差压缩行情，以及新券发行后活跃券与次活跃券的流动性溢价操作。目前可关注30年期国债与10年期国债的利差压缩空间，大约有3.6到5个BP的空间；20年期地方债与国债利差大约有9个BP左右的空间；另外，对于十年期国开债，可能存在3个多BP的利差压缩空间。</w:t>
      </w:r>
    </w:p>
    <w:p>
      <w:r>
        <w:rPr>
          <w:rFonts w:ascii="等线(中文正文)" w:hAnsi="等线(中文正文)" w:cs="等线(中文正文)" w:eastAsia="等线(中文正文)"/>
          <w:b w:val="false"/>
          <w:i w:val="false"/>
          <w:sz w:val="20"/>
        </w:rPr>
        <w:t/>
      </w:r>
    </w:p>
    <w:p>
      <w:pPr>
        <w:pStyle w:val="ab"/>
      </w:pPr>
      <w:r>
        <w:t>发言人1 问：对于未来债券市场的行情有何展望？</w:t>
      </w:r>
    </w:p>
    <w:p>
      <w:r>
        <w:rPr>
          <w:rFonts w:ascii="等线(中文正文)" w:hAnsi="等线(中文正文)" w:cs="等线(中文正文)" w:eastAsia="等线(中文正文)"/>
          <w:b w:val="false"/>
          <w:i w:val="false"/>
          <w:sz w:val="20"/>
        </w:rPr>
        <w:t>发言人1 答：接下来的两三周时间里，随着资管产品进行资金配置，且资金价格保持宽松，对债券市场行情相对乐观，但空间不大。因此，在择券和策略上需要更加细致谨慎，采取更审慎的止盈和快进快出操作。同时，也要关注30年期品种的债券行情，根据一二级市场定价情况灵活调整策略。</w:t>
      </w:r>
    </w:p>
    <w:p>
      <w:r>
        <w:rPr>
          <w:rFonts w:ascii="等线(中文正文)" w:hAnsi="等线(中文正文)" w:cs="等线(中文正文)" w:eastAsia="等线(中文正文)"/>
          <w:b w:val="false"/>
          <w:i w:val="false"/>
          <w:sz w:val="20"/>
        </w:rPr>
        <w:t/>
      </w:r>
    </w:p>
    <w:p>
      <w:pPr>
        <w:pStyle w:val="ab"/>
      </w:pPr>
      <w:r>
        <w:t>发言人1 问：对于上周公布的出口数据有何分析？</w:t>
      </w:r>
    </w:p>
    <w:p>
      <w:r>
        <w:rPr>
          <w:rFonts w:ascii="等线(中文正文)" w:hAnsi="等线(中文正文)" w:cs="等线(中文正文)" w:eastAsia="等线(中文正文)"/>
          <w:b w:val="false"/>
          <w:i w:val="false"/>
          <w:sz w:val="20"/>
        </w:rPr>
        <w:t>发言人1 答：三月份出口同比增2.5%，弱于市场预期，而进口同比增27.8%，大幅超预期。出口不及预期主要受高基数效应和春节放假影响，导致劳动密集型产品出口节奏波动较大。尽管如此，剔除基数和春节因素后，出口两年复合增速仍保持在7.2%，不算很弱。此外，集成电路等资本密集型产品出口表现平稳，海外资本开支逻辑对全球贸易总需求起到核心支撑作用，地缘因素对出口的影响有限。预计二季度随着基数效应减弱和技术回落，出口读数有望修复至5%左右的中枢水平。</w:t>
      </w:r>
    </w:p>
    <w:p>
      <w:r>
        <w:rPr>
          <w:rFonts w:ascii="等线(中文正文)" w:hAnsi="等线(中文正文)" w:cs="等线(中文正文)" w:eastAsia="等线(中文正文)"/>
          <w:b w:val="false"/>
          <w:i w:val="false"/>
          <w:sz w:val="20"/>
        </w:rPr>
        <w:t/>
      </w:r>
    </w:p>
    <w:p>
      <w:pPr>
        <w:pStyle w:val="ab"/>
      </w:pPr>
      <w:r>
        <w:t>发言人1 问：进口方面，上游大宗商品的进口增长中涨价因素起到了什么作用？中游和下游中间品的进口情况如何？</w:t>
      </w:r>
    </w:p>
    <w:p>
      <w:r>
        <w:rPr>
          <w:rFonts w:ascii="等线(中文正文)" w:hAnsi="等线(中文正文)" w:cs="等线(中文正文)" w:eastAsia="等线(中文正文)"/>
          <w:b w:val="false"/>
          <w:i w:val="false"/>
          <w:sz w:val="20"/>
        </w:rPr>
        <w:t>发言人1 答：在三月份的进口中，上游大宗商品价格上涨是进口增长的主要贡献因素。尽管进口数量增速有所下滑，但价格上涨导致了进口金额的上升。中游五类中间品（塑料、铜材、二极管、集成电路和自动处理设备）进口增速为40.2%，较前两个月有明显提升，特别是集成电路进口同比增长53.7%，且价格和数量增速均较高。而下游三类消费品进口则呈现负增长，其中汽车进口金额同比下降39.5%，是拖累进口增长的主要因素。</w:t>
      </w:r>
    </w:p>
    <w:p>
      <w:r>
        <w:rPr>
          <w:rFonts w:ascii="等线(中文正文)" w:hAnsi="等线(中文正文)" w:cs="等线(中文正文)" w:eastAsia="等线(中文正文)"/>
          <w:b w:val="false"/>
          <w:i w:val="false"/>
          <w:sz w:val="20"/>
        </w:rPr>
        <w:t/>
      </w:r>
    </w:p>
    <w:p>
      <w:pPr>
        <w:pStyle w:val="ab"/>
      </w:pPr>
      <w:r>
        <w:t>发言人1 问：对于未来进口趋势，有哪些因素需要关注？</w:t>
      </w:r>
    </w:p>
    <w:p>
      <w:r>
        <w:rPr>
          <w:rFonts w:ascii="等线(中文正文)" w:hAnsi="等线(中文正文)" w:cs="等线(中文正文)" w:eastAsia="等线(中文正文)"/>
          <w:b w:val="false"/>
          <w:i w:val="false"/>
          <w:sz w:val="20"/>
        </w:rPr>
        <w:t>发言人1 答：虽然外部局势存在不确定性，但能源成本抬升向中游和下游价格传导有望持续，支撑进口价格读数保持。然而，下游终端需求温和修复阶段，涨价可能对进口需求量和中游工业生产节奏产生抑制作用，还需进一步观察。</w:t>
      </w:r>
    </w:p>
    <w:p>
      <w:r>
        <w:rPr>
          <w:rFonts w:ascii="等线(中文正文)" w:hAnsi="等线(中文正文)" w:cs="等线(中文正文)" w:eastAsia="等线(中文正文)"/>
          <w:b w:val="false"/>
          <w:i w:val="false"/>
          <w:sz w:val="20"/>
        </w:rPr>
        <w:t/>
      </w:r>
    </w:p>
    <w:p>
      <w:pPr>
        <w:pStyle w:val="ab"/>
      </w:pPr>
      <w:r>
        <w:t>发言人1 问：一季度经济数据中，哪些亮点值得关注？</w:t>
      </w:r>
    </w:p>
    <w:p>
      <w:r>
        <w:rPr>
          <w:rFonts w:ascii="等线(中文正文)" w:hAnsi="等线(中文正文)" w:cs="等线(中文正文)" w:eastAsia="等线(中文正文)"/>
          <w:b w:val="false"/>
          <w:i w:val="false"/>
          <w:sz w:val="20"/>
        </w:rPr>
        <w:t>发言人1 答：一季度不变价GDP增速达到5%，服务业成为核心拉动经济增长的动力源，租赁商务服务业、信息传输业、金融业等增加值同比增速超过12%。现价GDP同比增长4.9%，人民币汇率升值对进出口拖累约2.3个百分点。此外，服务消费对于GDP最终消费支出的拉动较强，名义增速可能在5%到6%区间，高于4.9%的经济增速。</w:t>
      </w:r>
    </w:p>
    <w:p>
      <w:r>
        <w:rPr>
          <w:rFonts w:ascii="等线(中文正文)" w:hAnsi="等线(中文正文)" w:cs="等线(中文正文)" w:eastAsia="等线(中文正文)"/>
          <w:b w:val="false"/>
          <w:i w:val="false"/>
          <w:sz w:val="20"/>
        </w:rPr>
        <w:t/>
      </w:r>
    </w:p>
    <w:p>
      <w:pPr>
        <w:pStyle w:val="ab"/>
      </w:pPr>
      <w:r>
        <w:t>发言人1 问：高基数效应对经济数据有何影响？</w:t>
      </w:r>
    </w:p>
    <w:p>
      <w:r>
        <w:rPr>
          <w:rFonts w:ascii="等线(中文正文)" w:hAnsi="等线(中文正文)" w:cs="等线(中文正文)" w:eastAsia="等线(中文正文)"/>
          <w:b w:val="false"/>
          <w:i w:val="false"/>
          <w:sz w:val="20"/>
        </w:rPr>
        <w:t>发言人1 答：高基数效应导致一季度末月度GDP复合增速放缓，但剔除基数影响后，3月份月度GDP复合增速高于1至2月份水平，表明经济动能并未明显滑坡，而是受到去年3月份基数较高影响。</w:t>
      </w:r>
    </w:p>
    <w:p>
      <w:r>
        <w:rPr>
          <w:rFonts w:ascii="等线(中文正文)" w:hAnsi="等线(中文正文)" w:cs="等线(中文正文)" w:eastAsia="等线(中文正文)"/>
          <w:b w:val="false"/>
          <w:i w:val="false"/>
          <w:sz w:val="20"/>
        </w:rPr>
        <w:t/>
      </w:r>
    </w:p>
    <w:p>
      <w:pPr>
        <w:pStyle w:val="ab"/>
      </w:pPr>
      <w:r>
        <w:t>发言人1 问：二季度经济增速预计会如何变化？</w:t>
      </w:r>
    </w:p>
    <w:p>
      <w:r>
        <w:rPr>
          <w:rFonts w:ascii="等线(中文正文)" w:hAnsi="等线(中文正文)" w:cs="等线(中文正文)" w:eastAsia="等线(中文正文)"/>
          <w:b w:val="false"/>
          <w:i w:val="false"/>
          <w:sz w:val="20"/>
        </w:rPr>
        <w:t>发言人1 答：预计二季度经济增速会季节性放缓，对债市影响减弱。出口方面，海外资本开支逻辑将继续支撑韧性；内需层面面临高基数扰动。政策力度下，内外需分化格局可能持续，需关注四月份政治局会议定调及二季度GPI同比上行对名义GDP的影响。</w:t>
      </w:r>
    </w:p>
    <w:p>
      <w:r>
        <w:rPr>
          <w:rFonts w:ascii="等线(中文正文)" w:hAnsi="等线(中文正文)" w:cs="等线(中文正文)" w:eastAsia="等线(中文正文)"/>
          <w:b w:val="false"/>
          <w:i w:val="false"/>
          <w:sz w:val="20"/>
        </w:rPr>
        <w:t/>
      </w:r>
    </w:p>
    <w:p>
      <w:pPr>
        <w:pStyle w:val="ab"/>
      </w:pPr>
      <w:r>
        <w:t>发言人1 问：对于债券市场而言，当前应重点关注哪些结构性问题？</w:t>
      </w:r>
    </w:p>
    <w:p>
      <w:r>
        <w:rPr>
          <w:rFonts w:ascii="等线(中文正文)" w:hAnsi="等线(中文正文)" w:cs="等线(中文正文)" w:eastAsia="等线(中文正文)"/>
          <w:b w:val="false"/>
          <w:i w:val="false"/>
          <w:sz w:val="20"/>
        </w:rPr>
        <w:t>发言人1 答：需要关注结构性通胀向终端传导的效果，以及其引发涨价范围扩散的可能性，特别是关注涨价对下游需求和中游工业品生产节奏的影响。</w:t>
      </w:r>
    </w:p>
    <w:p>
      <w:r>
        <w:rPr>
          <w:rFonts w:ascii="等线(中文正文)" w:hAnsi="等线(中文正文)" w:cs="等线(中文正文)" w:eastAsia="等线(中文正文)"/>
          <w:b w:val="false"/>
          <w:i w:val="false"/>
          <w:sz w:val="20"/>
        </w:rPr>
        <w:t/>
      </w:r>
    </w:p>
    <w:p>
      <w:pPr>
        <w:pStyle w:val="ab"/>
      </w:pPr>
      <w:r>
        <w:t>发言人1 问：年初以来信用债的整体表现及持有策略比较优势如何？</w:t>
      </w:r>
    </w:p>
    <w:p>
      <w:r>
        <w:rPr>
          <w:rFonts w:ascii="等线(中文正文)" w:hAnsi="等线(中文正文)" w:cs="等线(中文正文)" w:eastAsia="等线(中文正文)"/>
          <w:b w:val="false"/>
          <w:i w:val="false"/>
          <w:sz w:val="20"/>
        </w:rPr>
        <w:t>发言人1 答：年初以来，信用利差普遍收窄，信用债兼具票息优势和资本利得，其中长久期品种表现较好。久期拉长策略组合收益提升明显，同时会放大组合波动。对比不同信用债持有策略，拉长久期性价比较为突出。</w:t>
      </w:r>
    </w:p>
    <w:p>
      <w:r>
        <w:rPr>
          <w:rFonts w:ascii="等线(中文正文)" w:hAnsi="等线(中文正文)" w:cs="等线(中文正文)" w:eastAsia="等线(中文正文)"/>
          <w:b w:val="false"/>
          <w:i w:val="false"/>
          <w:sz w:val="20"/>
        </w:rPr>
        <w:t/>
      </w:r>
    </w:p>
    <w:p>
      <w:pPr>
        <w:pStyle w:val="ab"/>
      </w:pPr>
      <w:r>
        <w:t>发言人1 问：在信用债组合中，4年期信用品种相较于其他中长端信用债有何收益优势？</w:t>
      </w:r>
    </w:p>
    <w:p>
      <w:r>
        <w:rPr>
          <w:rFonts w:ascii="等线(中文正文)" w:hAnsi="等线(中文正文)" w:cs="等线(中文正文)" w:eastAsia="等线(中文正文)"/>
          <w:b w:val="false"/>
          <w:i w:val="false"/>
          <w:sz w:val="20"/>
        </w:rPr>
        <w:t>发言人1 答：在组合久期相近的情况下，4年期信用品种对整体组合的收益贡献度相对更高。这种收益增厚主要来源于资本利得的提升，并且中长端的二用债因其利率放大器特征也贡献了较多资本利得。但同时，这类组合的波动性明显放大，最大回撤分别为负的0.12和负的0.3%。</w:t>
      </w:r>
    </w:p>
    <w:p>
      <w:r>
        <w:rPr>
          <w:rFonts w:ascii="等线(中文正文)" w:hAnsi="等线(中文正文)" w:cs="等线(中文正文)" w:eastAsia="等线(中文正文)"/>
          <w:b w:val="false"/>
          <w:i w:val="false"/>
          <w:sz w:val="20"/>
        </w:rPr>
        <w:t/>
      </w:r>
    </w:p>
    <w:p>
      <w:pPr>
        <w:pStyle w:val="ab"/>
      </w:pPr>
      <w:r>
        <w:t>发言人1 问：等级下沉和板块切换如何影响信用债组合的收益？</w:t>
      </w:r>
    </w:p>
    <w:p>
      <w:r>
        <w:rPr>
          <w:rFonts w:ascii="等线(中文正文)" w:hAnsi="等线(中文正文)" w:cs="等线(中文正文)" w:eastAsia="等线(中文正文)"/>
          <w:b w:val="false"/>
          <w:i w:val="false"/>
          <w:sz w:val="20"/>
        </w:rPr>
        <w:t>发言人1 答：等级下沉和板块切换可以显著增厚组合收益。例如，两年的下沉策略在票息和资本利得上分别比两年高资质短信用组合提升约0.15和0.14个百分点。此外，在2年附近的城投债、煤炭、钢铁、券商、四级保险和次级债等板块中，策略组合的票息收益基本一致，但资本利得差异较为明显。</w:t>
      </w:r>
    </w:p>
    <w:p>
      <w:r>
        <w:rPr>
          <w:rFonts w:ascii="等线(中文正文)" w:hAnsi="等线(中文正文)" w:cs="等线(中文正文)" w:eastAsia="等线(中文正文)"/>
          <w:b w:val="false"/>
          <w:i w:val="false"/>
          <w:sz w:val="20"/>
        </w:rPr>
        <w:t/>
      </w:r>
    </w:p>
    <w:p>
      <w:pPr>
        <w:pStyle w:val="ab"/>
      </w:pPr>
      <w:r>
        <w:t>发言人1 问：年初以来信用债市场的表现及不同持有策略对组合收益的影响如何？</w:t>
      </w:r>
    </w:p>
    <w:p>
      <w:r>
        <w:rPr>
          <w:rFonts w:ascii="等线(中文正文)" w:hAnsi="等线(中文正文)" w:cs="等线(中文正文)" w:eastAsia="等线(中文正文)"/>
          <w:b w:val="false"/>
          <w:i w:val="false"/>
          <w:sz w:val="20"/>
        </w:rPr>
        <w:t>发言人1 答：年初以来，信用债市场表现不一，不同持有策略对组合收益贡献有所区别。资金条件维持宽松，理财申购基金增多支撑了短期行情，预计本周情绪偏积极，信用利差有望补涨收窄，但因当前信用利差处于偏低水平，进一步收窄空间有限。建议继续挖掘期限利差较高的品种，关注曲线的凸点。</w:t>
      </w:r>
    </w:p>
    <w:p>
      <w:r>
        <w:rPr>
          <w:rFonts w:ascii="等线(中文正文)" w:hAnsi="等线(中文正文)" w:cs="等线(中文正文)" w:eastAsia="等线(中文正文)"/>
          <w:b w:val="false"/>
          <w:i w:val="false"/>
          <w:sz w:val="20"/>
        </w:rPr>
        <w:t/>
      </w:r>
    </w:p>
    <w:p>
      <w:pPr>
        <w:pStyle w:val="ab"/>
      </w:pPr>
      <w:r>
        <w:t>发言人1 问：政策热点事件对信用债市场有何影响？</w:t>
      </w:r>
    </w:p>
    <w:p>
      <w:r>
        <w:rPr>
          <w:rFonts w:ascii="等线(中文正文)" w:hAnsi="等线(中文正文)" w:cs="等线(中文正文)" w:eastAsia="等线(中文正文)"/>
          <w:b w:val="false"/>
          <w:i w:val="false"/>
          <w:sz w:val="20"/>
        </w:rPr>
        <w:t>发言人1 答：首先，监管政策调整导致产业债审核标准趋严，发行门槛提高，尤其是城投融资政策收紧，监管将更加注重主体市场化运营能力和债务风险状况。其次，评级机构约谈揭示行业乱象，增量主体信用评级标准将更加严格，存量发债主体也可能面临评级调降或终止评级的风险，特别是存在违约记录的主体。</w:t>
      </w:r>
    </w:p>
    <w:p>
      <w:r>
        <w:rPr>
          <w:rFonts w:ascii="等线(中文正文)" w:hAnsi="等线(中文正文)" w:cs="等线(中文正文)" w:eastAsia="等线(中文正文)"/>
          <w:b w:val="false"/>
          <w:i w:val="false"/>
          <w:sz w:val="20"/>
        </w:rPr>
        <w:t/>
      </w:r>
    </w:p>
    <w:p>
      <w:pPr>
        <w:pStyle w:val="ab"/>
      </w:pPr>
      <w:r>
        <w:t>发言人1 问：转债市场近期观点是什么？</w:t>
      </w:r>
    </w:p>
    <w:p>
      <w:r>
        <w:rPr>
          <w:rFonts w:ascii="等线(中文正文)" w:hAnsi="等线(中文正文)" w:cs="等线(中文正文)" w:eastAsia="等线(中文正文)"/>
          <w:b w:val="false"/>
          <w:i w:val="false"/>
          <w:sz w:val="20"/>
        </w:rPr>
        <w:t>发言人1 答：上周转债市场估值环比抬升，资金面偏强，转债行情独立于权益市场表现。随着全球市场修复阶段基本结束，后续需要关注结构性特征和业绩分化。转债操作上应谨慎对待接近前高的估值水平，权益市场的预期尚未稳固，存在波动风险。从转债结构看，期限和评价结构均有反弹，但次新券估值与存量券估值差仍较高，参与仍需谨慎。下修博弈方面，今年下修收益明显弱化，下修样本剩余期限缩短，下修定价更弱，提议下修后价格修复空间有限，参与时间点需适当提前。</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2026-04-20T15:02:43Z</dcterms:created>
  <dc:creator>Apache POI</dc:creator>
</cp:coreProperties>
</file>