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【摩根士丹利】研报解读：亚洲及全球经济展望260418_导读</w:t>
      </w:r>
    </w:p>
    <w:p>
      <w:pPr>
        <w:pStyle w:val="a0"/>
        <w:jc w:val="center"/>
      </w:pPr>
      <w:r>
        <w:t>2026年04月20日 00:16</w:t>
      </w:r>
    </w:p>
    <w:p>
      <w:pPr>
        <w:pStyle w:val="a7"/>
      </w:pPr>
      <w:r>
        <w:t>关键词</w:t>
      </w:r>
    </w:p>
    <w:p>
      <w:r>
        <w:rPr>
          <w:rFonts w:ascii="等线(中文正文)" w:hAnsi="等线(中文正文)" w:cs="等线(中文正文)" w:eastAsia="等线(中文正文)"/>
          <w:b w:val="false"/>
          <w:i w:val="false"/>
          <w:sz w:val="20"/>
        </w:rPr>
        <w:t xml:space="preserve">能源价格 亚洲经济 半导体自主化 GDP 出口 AI芯片 GPU产业 自给率 资本监管 银行 股市 债券 同质化 商品化 政策扶持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能源价格上涨和半导体自主化成为影响亚太地区经济和市场格局的关键因素。各国政府通过价格补贴等措施缓解经济压力，但可能拖累经济增速。能源价格波动对亚洲GDP和出口构成冲击，尤其是对印度、韩国、中国台湾和泰国等经济体，而能源价格回落预示着经济恢复的积极信号。中国在半导体和人工智能领域加速发展，尤其是在美国出口管制下，通过推动GPU产业和AI芯片产业进步，面对技术追赶和市场同质化风险。同时，美国银行资本监管新提案对金融市场产生影响，摩根士坦利预测全球市场波动，强调亚洲经济转型、能源安全和半导体自主化的重要性与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能源冲击与半导体自主化影响亚太经济</w:t>
      </w:r>
    </w:p>
    <w:p>
      <w:r>
        <w:rPr>
          <w:rFonts w:ascii="等线(中文正文)" w:hAnsi="等线(中文正文)" w:cs="等线(中文正文)" w:eastAsia="等线(中文正文)"/>
          <w:b w:val="false"/>
          <w:i w:val="false"/>
          <w:sz w:val="20"/>
        </w:rPr>
        <w:t>讨论了能源价格上涨对亚洲经济的影响及各国应对措施，指出油价高企将导致部分国家经济增速下滑，但价格回落有望快速恢复经济增长。同时，探讨了美国对华高科技出口管制下，中国如何通过投资和政策推动本土GPU与AI芯片产业发展，强调中国在AI芯片推理环节的竞争力提升。</w:t>
      </w:r>
    </w:p>
    <w:p>
      <w:r>
        <w:rPr>
          <w:rFonts w:ascii="等线(中文正文)" w:hAnsi="等线(中文正文)" w:cs="等线(中文正文)" w:eastAsia="等线(中文正文)"/>
          <w:b w:val="false"/>
          <w:i w:val="false"/>
          <w:sz w:val="20"/>
        </w:rPr>
        <w:t/>
      </w:r>
    </w:p>
    <w:p>
      <w:pPr>
        <w:pStyle w:val="ab"/>
        <w:numPr>
          <w:numId w:val="2"/>
        </w:numPr>
      </w:pPr>
      <w:r>
        <w:t>01:46 能源价格波动与AI芯片自给自足趋势</w:t>
      </w:r>
    </w:p>
    <w:p>
      <w:r>
        <w:rPr>
          <w:rFonts w:ascii="等线(中文正文)" w:hAnsi="等线(中文正文)" w:cs="等线(中文正文)" w:eastAsia="等线(中文正文)"/>
          <w:b w:val="false"/>
          <w:i w:val="false"/>
          <w:sz w:val="20"/>
        </w:rPr>
        <w:t>讨论了能源价格上涨对亚洲经济体GDP和出口的影响，特别是印度、韩国、中国台湾和泰国面临的能源账单增加和供应紧张问题。分析了中国在AI GPU和存储芯片领域的自给自足进展，以及本土产业在政策扶持下的技术追赶和市场策略。最后，提及美国银行资本监管提案对金融市场和银行行为的积极影响，包括资本释放、放贷增加及股东回报提升。</w:t>
      </w:r>
    </w:p>
    <w:p>
      <w:r>
        <w:rPr>
          <w:rFonts w:ascii="等线(中文正文)" w:hAnsi="等线(中文正文)" w:cs="等线(中文正文)" w:eastAsia="等线(中文正文)"/>
          <w:b w:val="false"/>
          <w:i w:val="false"/>
          <w:sz w:val="20"/>
        </w:rPr>
        <w:t/>
      </w:r>
    </w:p>
    <w:p>
      <w:pPr>
        <w:pStyle w:val="ab"/>
        <w:numPr>
          <w:numId w:val="3"/>
        </w:numPr>
      </w:pPr>
      <w:r>
        <w:t>03:59 AI芯片自给率预测与全球市场展望</w:t>
      </w:r>
    </w:p>
    <w:p>
      <w:r>
        <w:rPr>
          <w:rFonts w:ascii="等线(中文正文)" w:hAnsi="等线(中文正文)" w:cs="等线(中文正文)" w:eastAsia="等线(中文正文)"/>
          <w:b w:val="false"/>
          <w:i w:val="false"/>
          <w:sz w:val="20"/>
        </w:rPr>
        <w:t>对话讨论了中国AI芯片自给率预测至2030年达76%，面临同质化风险；全球市场波动大，摩根士坦利预测各区域市场宽泛波动区间，建议超配美国股票，中性欧洲日本股票，偏好美国国债和欧元区债券，保持现金配比应对波动。</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首先讨论了能源价格上涨对亚太地区经济和市场格局的影响，特别提到亚洲各国政府为缓解油价高企带来的压力而采取的补贴措施，但长期来看这可能导致经济增速下滑。随后，转向半导体自主化话题，强调尽管受到美国出口管制，中国依然通过投资和政策支持，推动本土GPU和AI芯片产业的发展，尽管面临挑战。他还分析了能源价格波动对亚洲GDP和出口的负面影响，并讨论了中国在AI芯片自给自足方面的进展及潜在风险。最后，他提到了摩根士坦利对全球市场展望和资产配置的建议，指出亚洲经济体既面临机遇也面临挑战。</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问：近期能源价格上涨和半导体自主化趋势如何影响亚太地区的经济和市场格局？</w:t>
      </w:r>
    </w:p>
    <w:p>
      <w:r>
        <w:rPr>
          <w:rFonts w:ascii="等线(中文正文)" w:hAnsi="等线(中文正文)" w:cs="等线(中文正文)" w:eastAsia="等线(中文正文)"/>
          <w:b w:val="false"/>
          <w:i w:val="false"/>
          <w:sz w:val="20"/>
        </w:rPr>
        <w:t>发言人1 答：最近，能源价格上涨和半导体自主化是受广泛关注的因素。在能源方面，亚洲各国政府采取了措施如价格补贴来应对油价上涨，但若油价维持高位（例如120美元每桶），韩国和印度等国的经济增速将明显下滑。如果能源价格回落至合理水平，亚洲和全球经济的增长势头会迅速恢复。此外，中国在面临美国高科技出口管制的压力下，通过投资和政策扶持推动本土GPU产业和AI芯片发展，尤其在低电力成本和完善的基础设施条件下，中国的AI芯片在推理环节竞争力增强。</w:t>
      </w:r>
    </w:p>
    <w:p>
      <w:r>
        <w:rPr>
          <w:rFonts w:ascii="等线(中文正文)" w:hAnsi="等线(中文正文)" w:cs="等线(中文正文)" w:eastAsia="等线(中文正文)"/>
          <w:b w:val="false"/>
          <w:i w:val="false"/>
          <w:sz w:val="20"/>
        </w:rPr>
        <w:t/>
      </w:r>
    </w:p>
    <w:p>
      <w:pPr>
        <w:pStyle w:val="ab"/>
      </w:pPr>
      <w:r>
        <w:t>发言人1 问：能源价格上涨对亚洲GDP和出口的具体影响是什么？为何印度、韩国、中国台湾和泰国受影响较大？</w:t>
      </w:r>
    </w:p>
    <w:p>
      <w:r>
        <w:rPr>
          <w:rFonts w:ascii="等线(中文正文)" w:hAnsi="等线(中文正文)" w:cs="等线(中文正文)" w:eastAsia="等线(中文正文)"/>
          <w:b w:val="false"/>
          <w:i w:val="false"/>
          <w:sz w:val="20"/>
        </w:rPr>
        <w:t>发言人1 答：当油价上升时，印度、韩国、中国台湾和泰国等经济体不仅要承担更高的能源账单，还会面临能源供应紧张的问题，尤其是液化天然气和工业原料短缺会直接影响制造业产出和出口。一旦油价升至150美元每桶，这些经济体可能会陷入更深度持久的经济放缓。</w:t>
      </w:r>
    </w:p>
    <w:p>
      <w:r>
        <w:rPr>
          <w:rFonts w:ascii="等线(中文正文)" w:hAnsi="等线(中文正文)" w:cs="等线(中文正文)" w:eastAsia="等线(中文正文)"/>
          <w:b w:val="false"/>
          <w:i w:val="false"/>
          <w:sz w:val="20"/>
        </w:rPr>
        <w:t/>
      </w:r>
    </w:p>
    <w:p>
      <w:pPr>
        <w:pStyle w:val="ab"/>
      </w:pPr>
      <w:r>
        <w:t>发言人1 问：近年来中国在AI GPU和存储芯片自给自足方面取得了哪些进展？</w:t>
      </w:r>
    </w:p>
    <w:p>
      <w:r>
        <w:rPr>
          <w:rFonts w:ascii="等线(中文正文)" w:hAnsi="等线(中文正文)" w:cs="等线(中文正文)" w:eastAsia="等线(中文正文)"/>
          <w:b w:val="false"/>
          <w:i w:val="false"/>
          <w:sz w:val="20"/>
        </w:rPr>
        <w:t>发言人1 答：中国在AI GPU和存储芯片领域的自给率提升迅速，预计到2028年整体自给率将达到32%左右。国内产能扩张为这一目标的实现提供了支持，同时也带动了国内晶圆厂设备企业和芯片设计公司的机遇。同时，本土AIGPU行业在政策扶持和持续投资下快速发展，并通过低价和系统级优化主攻推理市场，预计至2030年自给率将达到76%，但产品同质化问题日益严重成为未来最大风险。</w:t>
      </w:r>
    </w:p>
    <w:p>
      <w:r>
        <w:rPr>
          <w:rFonts w:ascii="等线(中文正文)" w:hAnsi="等线(中文正文)" w:cs="等线(中文正文)" w:eastAsia="等线(中文正文)"/>
          <w:b w:val="false"/>
          <w:i w:val="false"/>
          <w:sz w:val="20"/>
        </w:rPr>
        <w:t/>
      </w:r>
    </w:p>
    <w:p>
      <w:pPr>
        <w:pStyle w:val="ab"/>
      </w:pPr>
      <w:r>
        <w:t>发言人1 问：美国银行资本监管新提案将如何影响金融市场和银行行为？</w:t>
      </w:r>
    </w:p>
    <w:p>
      <w:r>
        <w:rPr>
          <w:rFonts w:ascii="等线(中文正文)" w:hAnsi="等线(中文正文)" w:cs="等线(中文正文)" w:eastAsia="等线(中文正文)"/>
          <w:b w:val="false"/>
          <w:i w:val="false"/>
          <w:sz w:val="20"/>
        </w:rPr>
        <w:t>发言人1 答：美国最新的银行资本监管提案降低了银行资本要求，释放了约3200亿美元过剩资本，使得银行有更多的资金放贷和投入资本市场，从而有望增加股东回报，这对银行股构成利好。清晰的规则和较少的反对声音增强了市场对于银行增加资本投放的信心，进而推动银行盈利预期改善和估值提升。</w:t>
      </w:r>
    </w:p>
    <w:p>
      <w:r>
        <w:rPr>
          <w:rFonts w:ascii="等线(中文正文)" w:hAnsi="等线(中文正文)" w:cs="等线(中文正文)" w:eastAsia="等线(中文正文)"/>
          <w:b w:val="false"/>
          <w:i w:val="false"/>
          <w:sz w:val="20"/>
        </w:rPr>
        <w:t/>
      </w:r>
    </w:p>
    <w:p>
      <w:pPr>
        <w:pStyle w:val="ab"/>
      </w:pPr>
      <w:r>
        <w:t>发言人1 问：摩根士坦利对未来市场表现和波动区间的预测是怎样的？</w:t>
      </w:r>
    </w:p>
    <w:p>
      <w:r>
        <w:rPr>
          <w:rFonts w:ascii="等线(中文正文)" w:hAnsi="等线(中文正文)" w:cs="等线(中文正文)" w:eastAsia="等线(中文正文)"/>
          <w:b w:val="false"/>
          <w:i w:val="false"/>
          <w:sz w:val="20"/>
        </w:rPr>
        <w:t>发言人1 答：摩根士坦利预计未来市场波动将维持高位，给出了各个区域市场牛市和熊市的波动范围预测，如MSCI新兴市场指数可能有-30.5%到正27.6%的波动范围，MSCI亚太除日本指数在-29.6%到正24.7%之间。对于具体国家，如日本、中国、印度、美国股市，摩根士坦利给出了不同的估值溢价和看好程度的建议，同时也指出拉丁美洲股市存在较大的下行风险。</w:t>
      </w:r>
    </w:p>
    <w:p>
      <w:r>
        <w:rPr>
          <w:rFonts w:ascii="等线(中文正文)" w:hAnsi="等线(中文正文)" w:cs="等线(中文正文)" w:eastAsia="等线(中文正文)"/>
          <w:b w:val="false"/>
          <w:i w:val="false"/>
          <w:sz w:val="20"/>
        </w:rPr>
        <w:t/>
      </w:r>
    </w:p>
    <w:p>
      <w:pPr>
        <w:pStyle w:val="ab"/>
      </w:pPr>
      <w:r>
        <w:t>发言人1 问：摩根士坦利对全球主要资产类别（股票、债券、现金）的配置建议是什么？</w:t>
      </w:r>
    </w:p>
    <w:p>
      <w:r>
        <w:rPr>
          <w:rFonts w:ascii="等线(中文正文)" w:hAnsi="等线(中文正文)" w:cs="等线(中文正文)" w:eastAsia="等线(中文正文)"/>
          <w:b w:val="false"/>
          <w:i w:val="false"/>
          <w:sz w:val="20"/>
        </w:rPr>
        <w:t>发言人1 答：摩根士坦利建议超配美国股票，对欧洲和日本股票持中性态度。在债券方面，倾向于配置美国国债和欧元区政府债券，并建议保持一定的现金配比以应对市场波动。对于全球主要资产类别的配置建议体现了对风险和收益的综合考量。</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2026-04-19T16:20:57Z</dcterms:created>
  <dc:creator>Apache POI</dc:creator>
</cp:coreProperties>
</file>