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欧洲海风专题之二-订单放量信号明显，能源安全驱动长期需求确定性提升 260417_导读</w:t>
      </w:r>
    </w:p>
    <w:p>
      <w:pPr>
        <w:pStyle w:val="a0"/>
        <w:jc w:val="center"/>
      </w:pPr>
      <w:r>
        <w:t>2026年04月20日 00:16</w:t>
      </w:r>
    </w:p>
    <w:p>
      <w:pPr>
        <w:pStyle w:val="a7"/>
      </w:pPr>
      <w:r>
        <w:t>关键词</w:t>
      </w:r>
    </w:p>
    <w:p>
      <w:r>
        <w:rPr>
          <w:rFonts w:ascii="等线(中文正文)" w:hAnsi="等线(中文正文)" w:cs="等线(中文正文)" w:eastAsia="等线(中文正文)"/>
          <w:b w:val="false"/>
          <w:i w:val="false"/>
          <w:sz w:val="20"/>
        </w:rPr>
        <w:t xml:space="preserve">欧洲海风 大金重工 订单需求 安装船 造船业务 本土化布局 盈利展望 政府拍卖 并网时间 供应链 能源自主 人工智能赛场 电力供应 战略发布 安装服务 拍卖机制 德国 荷兰 丹麦 差价合约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欧洲海上风电发展迅速，显示出电力供应稳定性、供应链完整度高、经济性和绿色属性等优势，吸引国内外企业加大投入。一家研究机构的新报告聚焦于投资欧洲海风行业的两大焦点，通过分析历史项目拍卖、延期数据和供应链签单，构建了预测未来订单需求的模型，同时揭示了多国加速海风项目和政策激励的现状。大金重工等企业在全球海风战略中表现活跃，不仅在欧洲市场获得显著进展，包括安装船建设和订单增加，还与其他企业共同布局，关注于订单获取、产能规划及未来发展，反映出欧洲海风需求的增长、政策支持、供应链本地化以及数据中心对绿电需求的推动作用。对于国内企业而言，出海至欧洲市场面临机遇与挑战，特别是在管桩、海工制造等环节寻找合作与本地化生产机会显得尤为关键。</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欧洲海风行业深度解析与大金重工调研反馈</w:t>
      </w:r>
    </w:p>
    <w:p>
      <w:r>
        <w:rPr>
          <w:rFonts w:ascii="等线(中文正文)" w:hAnsi="等线(中文正文)" w:cs="等线(中文正文)" w:eastAsia="等线(中文正文)"/>
          <w:b w:val="false"/>
          <w:i w:val="false"/>
          <w:sz w:val="20"/>
        </w:rPr>
        <w:t>会议重点讨论了欧洲海风行业的发展逻辑及催化因素，基于历史项目数据和供应链签单情况，建立了未来订单需求预测方法论。同时，对德国、英国等国政策激励下的项目推进进行了最新分析。调研大金重工，其在海风单桩以外的一体化新业务战略进展超出市场预期，特别是在安装船、欧洲安装业务及本地化布局方面，提供了清晰且定量的指引。</w:t>
      </w:r>
    </w:p>
    <w:p>
      <w:r>
        <w:rPr>
          <w:rFonts w:ascii="等线(中文正文)" w:hAnsi="等线(中文正文)" w:cs="等线(中文正文)" w:eastAsia="等线(中文正文)"/>
          <w:b w:val="false"/>
          <w:i w:val="false"/>
          <w:sz w:val="20"/>
        </w:rPr>
        <w:t/>
      </w:r>
    </w:p>
    <w:p>
      <w:pPr>
        <w:pStyle w:val="ab"/>
        <w:numPr>
          <w:numId w:val="2"/>
        </w:numPr>
      </w:pPr>
      <w:r>
        <w:t>02:10 大金重工：欧洲海风安装业务及本土化布局的超预期进展</w:t>
      </w:r>
    </w:p>
    <w:p>
      <w:r>
        <w:rPr>
          <w:rFonts w:ascii="等线(中文正文)" w:hAnsi="等线(中文正文)" w:cs="等线(中文正文)" w:eastAsia="等线(中文正文)"/>
          <w:b w:val="false"/>
          <w:i w:val="false"/>
          <w:sz w:val="20"/>
        </w:rPr>
        <w:t>公司官宣振力3500船改造及自建8000吨安装船计划，预计27年投入欧洲市场。造船业务目标26年新签订单300亿，高端海洋工程船与普通商船净利率分别达近20%和10%以上。欧洲本土化布局加速，西班牙西虹港基地已落成，第二步生产基地进展明确，增量超预期。风电研究员将分享调研更新及欧洲海风专题深度报告。</w:t>
      </w:r>
    </w:p>
    <w:p>
      <w:r>
        <w:rPr>
          <w:rFonts w:ascii="等线(中文正文)" w:hAnsi="等线(中文正文)" w:cs="等线(中文正文)" w:eastAsia="等线(中文正文)"/>
          <w:b w:val="false"/>
          <w:i w:val="false"/>
          <w:sz w:val="20"/>
        </w:rPr>
        <w:t/>
      </w:r>
    </w:p>
    <w:p>
      <w:pPr>
        <w:pStyle w:val="ab"/>
        <w:numPr>
          <w:numId w:val="3"/>
        </w:numPr>
      </w:pPr>
      <w:r>
        <w:t>04:45 大金海工制造与船舶产能展望及业绩预测</w:t>
      </w:r>
    </w:p>
    <w:p>
      <w:r>
        <w:rPr>
          <w:rFonts w:ascii="等线(中文正文)" w:hAnsi="等线(中文正文)" w:cs="等线(中文正文)" w:eastAsia="等线(中文正文)"/>
          <w:b w:val="false"/>
          <w:i w:val="false"/>
          <w:sz w:val="20"/>
        </w:rPr>
        <w:t>通过大金调研更新，透露出2030年海工制造与船舶产能的乐观预期，预计实现126亿元业绩，其中海工制造板块可望达到70至80亿元，船舶产能规划预计带来150亿元产值，安装船合作预计每年盈利12亿元。整体市值预期可达1000亿元，展现出广阔的发展空间与市场潜力。</w:t>
      </w:r>
    </w:p>
    <w:p>
      <w:r>
        <w:rPr>
          <w:rFonts w:ascii="等线(中文正文)" w:hAnsi="等线(中文正文)" w:cs="等线(中文正文)" w:eastAsia="等线(中文正文)"/>
          <w:b w:val="false"/>
          <w:i w:val="false"/>
          <w:sz w:val="20"/>
        </w:rPr>
        <w:t/>
      </w:r>
    </w:p>
    <w:p>
      <w:pPr>
        <w:pStyle w:val="ab"/>
        <w:numPr>
          <w:numId w:val="4"/>
        </w:numPr>
      </w:pPr>
      <w:r>
        <w:t>09:17 欧洲海上风电开发流程与需求趋势分析</w:t>
      </w:r>
    </w:p>
    <w:p>
      <w:r>
        <w:rPr>
          <w:rFonts w:ascii="等线(中文正文)" w:hAnsi="等线(中文正文)" w:cs="等线(中文正文)" w:eastAsia="等线(中文正文)"/>
          <w:b w:val="false"/>
          <w:i w:val="false"/>
          <w:sz w:val="20"/>
        </w:rPr>
        <w:t>报告深入解析了欧洲海上风电的开发流程，从立项至并网需十年左右，重点在于政府拍卖节点、投资决策节点及并网节点。当前，欧洲海上风电项目主要处于开发阶段，累计500GW。政府拍卖指标是衡量中期需求的关键，自2025年起，欧洲计划拍卖15GW海风项目，虽有波动，但整体维持高景气度。预计2026至2030年，欧洲海上风电装机需求将显著提升，未来装机量有进一步增长空间。</w:t>
      </w:r>
    </w:p>
    <w:p>
      <w:r>
        <w:rPr>
          <w:rFonts w:ascii="等线(中文正文)" w:hAnsi="等线(中文正文)" w:cs="等线(中文正文)" w:eastAsia="等线(中文正文)"/>
          <w:b w:val="false"/>
          <w:i w:val="false"/>
          <w:sz w:val="20"/>
        </w:rPr>
        <w:t/>
      </w:r>
    </w:p>
    <w:p>
      <w:pPr>
        <w:pStyle w:val="ab"/>
        <w:numPr>
          <w:numId w:val="5"/>
        </w:numPr>
      </w:pPr>
      <w:r>
        <w:t>12:00 欧洲海丰项目投资：拍卖机制改革与能源安全催化</w:t>
      </w:r>
    </w:p>
    <w:p>
      <w:r>
        <w:rPr>
          <w:rFonts w:ascii="等线(中文正文)" w:hAnsi="等线(中文正文)" w:cs="等线(中文正文)" w:eastAsia="等线(中文正文)"/>
          <w:b w:val="false"/>
          <w:i w:val="false"/>
          <w:sz w:val="20"/>
        </w:rPr>
        <w:t>欧洲海丰项目投资面临需求持续下降的挑战，主要源于政府拍卖机制与市场成本现状的错配。过去两年，拍卖阶段和开工前阶段的项目延期分别占60%和40%，这些问题可通过政府优化拍卖机制设计解决。德国、荷兰、丹麦等国正改革拍卖模式，引入对开发商更友好的差价合约，波兰则调整远期定价收入以应对通货膨胀。地缘冲突引发的能源安全关注和数据中心需求成为近期重要催化因素，增强了中长期海丰项目释放的确定性。</w:t>
      </w:r>
    </w:p>
    <w:p>
      <w:r>
        <w:rPr>
          <w:rFonts w:ascii="等线(中文正文)" w:hAnsi="等线(中文正文)" w:cs="等线(中文正文)" w:eastAsia="等线(中文正文)"/>
          <w:b w:val="false"/>
          <w:i w:val="false"/>
          <w:sz w:val="20"/>
        </w:rPr>
        <w:t/>
      </w:r>
    </w:p>
    <w:p>
      <w:pPr>
        <w:pStyle w:val="ab"/>
        <w:numPr>
          <w:numId w:val="6"/>
        </w:numPr>
      </w:pPr>
      <w:r>
        <w:t>14:26 欧盟能源转型：海风崛起为安全可负担的未来能源</w:t>
      </w:r>
    </w:p>
    <w:p>
      <w:r>
        <w:rPr>
          <w:rFonts w:ascii="等线(中文正文)" w:hAnsi="等线(中文正文)" w:cs="等线(中文正文)" w:eastAsia="等线(中文正文)"/>
          <w:b w:val="false"/>
          <w:i w:val="false"/>
          <w:sz w:val="20"/>
        </w:rPr>
        <w:t>讨论了俄乌冲突后欧盟提出的Power U计划，强调了海风作为可负担、安全且可持续能源的重要性。海风在成本、资源禀赋和供应链安全方面优于天然气，欧洲正加速海风项目拍卖以增强能源自主性，预计未来海风将成为核心能源发展方向。</w:t>
      </w:r>
    </w:p>
    <w:p>
      <w:r>
        <w:rPr>
          <w:rFonts w:ascii="等线(中文正文)" w:hAnsi="等线(中文正文)" w:cs="等线(中文正文)" w:eastAsia="等线(中文正文)"/>
          <w:b w:val="false"/>
          <w:i w:val="false"/>
          <w:sz w:val="20"/>
        </w:rPr>
        <w:t/>
      </w:r>
    </w:p>
    <w:p>
      <w:pPr>
        <w:pStyle w:val="ab"/>
        <w:numPr>
          <w:numId w:val="7"/>
        </w:numPr>
      </w:pPr>
      <w:r>
        <w:t>18:16 欧洲海风与数据中心需求增长分析</w:t>
      </w:r>
    </w:p>
    <w:p>
      <w:r>
        <w:rPr>
          <w:rFonts w:ascii="等线(中文正文)" w:hAnsi="等线(中文正文)" w:cs="等线(中文正文)" w:eastAsia="等线(中文正文)"/>
          <w:b w:val="false"/>
          <w:i w:val="false"/>
          <w:sz w:val="20"/>
        </w:rPr>
        <w:t>欧洲用电量需求在2010年至2024年间持续下降，但预计未来将因电气化和数据中心增长而恢复健康增长。欧盟计划出台数据中心用人法案，要求新建数据中心采用绿电，预计海风PPA签约将增加，释放超出政府拍卖的需求，对欧洲海风需求中长期增长空间产生积极影响。</w:t>
      </w:r>
    </w:p>
    <w:p>
      <w:r>
        <w:rPr>
          <w:rFonts w:ascii="等线(中文正文)" w:hAnsi="等线(中文正文)" w:cs="等线(中文正文)" w:eastAsia="等线(中文正文)"/>
          <w:b w:val="false"/>
          <w:i w:val="false"/>
          <w:sz w:val="20"/>
        </w:rPr>
        <w:t/>
      </w:r>
    </w:p>
    <w:p>
      <w:pPr>
        <w:pStyle w:val="ab"/>
        <w:numPr>
          <w:numId w:val="8"/>
        </w:numPr>
      </w:pPr>
      <w:r>
        <w:t>20:39 欧洲海风项目供应链与本地化政策分析</w:t>
      </w:r>
    </w:p>
    <w:p>
      <w:r>
        <w:rPr>
          <w:rFonts w:ascii="等线(中文正文)" w:hAnsi="等线(中文正文)" w:cs="等线(中文正文)" w:eastAsia="等线(中文正文)"/>
          <w:b w:val="false"/>
          <w:i w:val="false"/>
          <w:sz w:val="20"/>
        </w:rPr>
        <w:t>对话围绕欧洲海风项目展开，重点分析了从2022年起至未来几年的供应链签单趋势、本地化政策对供应链的影响，以及国内企业出海的机遇与挑战。指出管桩环节是供应链中最易出海的环节，而风机大型化将为国内零部件企业带来新机会。同时，漂浮式风电项目如英国绿芙项目预计今年将有订单落地，运输安装服务市场空间有望进一步扩大。</w:t>
      </w:r>
    </w:p>
    <w:p>
      <w:r>
        <w:rPr>
          <w:rFonts w:ascii="等线(中文正文)" w:hAnsi="等线(中文正文)" w:cs="等线(中文正文)" w:eastAsia="等线(中文正文)"/>
          <w:b w:val="false"/>
          <w:i w:val="false"/>
          <w:sz w:val="20"/>
        </w:rPr>
        <w:t/>
      </w:r>
    </w:p>
    <w:p>
      <w:pPr>
        <w:pStyle w:val="ab"/>
        <w:numPr>
          <w:numId w:val="9"/>
        </w:numPr>
      </w:pPr>
      <w:r>
        <w:t>26:12 欧洲海风产业趋势与头部企业分析</w:t>
      </w:r>
    </w:p>
    <w:p>
      <w:r>
        <w:rPr>
          <w:rFonts w:ascii="等线(中文正文)" w:hAnsi="等线(中文正文)" w:cs="等线(中文正文)" w:eastAsia="等线(中文正文)"/>
          <w:b w:val="false"/>
          <w:i w:val="false"/>
          <w:sz w:val="20"/>
        </w:rPr>
        <w:t>对话深入探讨了全球海缆供需变化，特别是欧洲海缆产能的虹吸效应，以及风机大型化带来的成本降低优势。强调了头部风机企业相对于欧洲竞争对手的领先地位，以及欧洲开发商对成本效益型风机型号的偏好。同时，指出本土化生产是欧洲战略性产业风机订单落地的关键。会议还推荐了欧洲海风领域的几家领先企业，并提供了后续交流和资料获取的渠道。</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首先介绍了自己作为国金电信首席官的身份，并邀请听众关注欧洲海上风电市场的发展。他强调了欧洲海风对于提高电力供应和增强能源自主可控的重要性，提到了欧洲海上风电项目的进展，包括拍卖、供应链、政策激励和本土化布局等方面。特别是在伊朗战争爆发后，欧洲各国对海风项目加速推进的反应，以及大金重工在海风产业链中的进展，显示了对大金重工的高度评价和对其未来业绩的乐观预期。他深入分析了欧洲海风市场需求，指出政府拍卖机制和能源安全敏感性的提升是推动海风项目发展的关键因素，同时也强调了数据中心对海风需求的潜在贡献以及欧洲对清洁能源自给自足的需求。在企业出海策略上，他提到欧洲市场对本地化有一定的要求，但国内企业仍有通过产能供应满足欧洲市场的需求的机会。最后，他提供了对未来欧洲海风项目发展趋势和投资机会的预测，并强调了重点关注的企业，旨在为投资者提供对欧洲海风市场及其相关企业深入分析和投资建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问：欧洲海风发电对于欧洲国家的重要性是什么？</w:t>
      </w:r>
    </w:p>
    <w:p>
      <w:r>
        <w:rPr>
          <w:rFonts w:ascii="等线(中文正文)" w:hAnsi="等线(中文正文)" w:cs="等线(中文正文)" w:eastAsia="等线(中文正文)"/>
          <w:b w:val="false"/>
          <w:i w:val="false"/>
          <w:sz w:val="20"/>
        </w:rPr>
        <w:t>发言人1 答：欧洲海风发电对于欧洲国家至关重要，尤其是在伊朗战争爆发后，为了在人工智能赛场上保持电力供应和提升能源自主可控能力，海上风电成为其数不多的选择。从资源禀赋、供应链完整度、经济性和绿色属性来看，海上风电几乎是一个唯一的选择。</w:t>
      </w:r>
    </w:p>
    <w:p>
      <w:r>
        <w:rPr>
          <w:rFonts w:ascii="等线(中文正文)" w:hAnsi="等线(中文正文)" w:cs="等线(中文正文)" w:eastAsia="等线(中文正文)"/>
          <w:b w:val="false"/>
          <w:i w:val="false"/>
          <w:sz w:val="20"/>
        </w:rPr>
        <w:t/>
      </w:r>
    </w:p>
    <w:p>
      <w:pPr>
        <w:pStyle w:val="ab"/>
      </w:pPr>
      <w:r>
        <w:t>发言人1 问：昨天调研了大金重工在欧洲海风领域的哪些进展？大金重工关于订单进展有何最新消息？</w:t>
      </w:r>
    </w:p>
    <w:p>
      <w:r>
        <w:rPr>
          <w:rFonts w:ascii="等线(中文正文)" w:hAnsi="等线(中文正文)" w:cs="等线(中文正文)" w:eastAsia="等线(中文正文)"/>
          <w:b w:val="false"/>
          <w:i w:val="false"/>
          <w:sz w:val="20"/>
        </w:rPr>
        <w:t>发言人1 答：在昨天的调研中，大金重工分享了其在欧洲海风领域的一系列清晰且定量的进展，包括安装船和欧洲安装业务的推进情况，以及市场化造船业务和欧洲本地化布局的进展。特别是在安装船方面，公司已官宣与振力3500号船签署改造协议，并且自建的全球最先进的8000吨起吊能力安装船设计方案已现成，预计2022年底下水，这将进一步强化公司在欧洲市场的竞争力。公司订单进展超预期，从最初的简单单桩订单逐步转向带有服务属性的高附加值订单，甚至能接到涵盖安装服务的全链条项目订单。预计最快在今年下半年就能看到这类全链条的海关项目订单。同时，公司新签订单有望在今年全年冲击300亿，其中高端海洋工程船和普通商船的净利率分别能达到近20%和10%以上。</w:t>
      </w:r>
    </w:p>
    <w:p>
      <w:r>
        <w:rPr>
          <w:rFonts w:ascii="等线(中文正文)" w:hAnsi="等线(中文正文)" w:cs="等线(中文正文)" w:eastAsia="等线(中文正文)"/>
          <w:b w:val="false"/>
          <w:i w:val="false"/>
          <w:sz w:val="20"/>
        </w:rPr>
        <w:t/>
      </w:r>
    </w:p>
    <w:p>
      <w:pPr>
        <w:pStyle w:val="ab"/>
      </w:pPr>
      <w:r>
        <w:t>发言人1 问：大金重工在欧洲本土化布局方面的规划如何？</w:t>
      </w:r>
    </w:p>
    <w:p>
      <w:r>
        <w:rPr>
          <w:rFonts w:ascii="等线(中文正文)" w:hAnsi="等线(中文正文)" w:cs="等线(中文正文)" w:eastAsia="等线(中文正文)"/>
          <w:b w:val="false"/>
          <w:i w:val="false"/>
          <w:sz w:val="20"/>
        </w:rPr>
        <w:t>发言人1 答：大金重工正在积极推进欧洲本土化布局，已经官宣在西班牙西虹港建立基地，并可能很快在欧洲启动第二步本土化生产基地建设。这种多元化本土化布局与欧洲政府和开发商的积极行动相互促进，将带来更多的增量超预期内容。</w:t>
      </w:r>
    </w:p>
    <w:p>
      <w:r>
        <w:rPr>
          <w:rFonts w:ascii="等线(中文正文)" w:hAnsi="等线(中文正文)" w:cs="等线(中文正文)" w:eastAsia="等线(中文正文)"/>
          <w:b w:val="false"/>
          <w:i w:val="false"/>
          <w:sz w:val="20"/>
        </w:rPr>
        <w:t/>
      </w:r>
    </w:p>
    <w:p>
      <w:pPr>
        <w:pStyle w:val="ab"/>
      </w:pPr>
      <w:r>
        <w:t>发言人1 问：基于最新信息，如何调整对大金重工2030年业绩的展望？</w:t>
      </w:r>
    </w:p>
    <w:p>
      <w:r>
        <w:rPr>
          <w:rFonts w:ascii="等线(中文正文)" w:hAnsi="等线(中文正文)" w:cs="等线(中文正文)" w:eastAsia="等线(中文正文)"/>
          <w:b w:val="false"/>
          <w:i w:val="false"/>
          <w:sz w:val="20"/>
        </w:rPr>
        <w:t>发言人1 答：根据公司最新指引和对欧洲海风市场的了解，我们对大金重工2030年的业绩进行了测算，预计当年整体业绩能达到126亿元规模，按当前PE计算，对应的PE仅为四倍。其中，海工制造板块受益于欧洲海风市场的强劲需求，到2023年，欧洲海风并网规模将达到约14G瓦，并在2029至2031年间释放，尤其是2030年将有大量需求释放，预计届时欧洲海风市场的基础需求量将达到200万吨以上级别。</w:t>
      </w:r>
    </w:p>
    <w:p>
      <w:r>
        <w:rPr>
          <w:rFonts w:ascii="等线(中文正文)" w:hAnsi="等线(中文正文)" w:cs="等线(中文正文)" w:eastAsia="等线(中文正文)"/>
          <w:b w:val="false"/>
          <w:i w:val="false"/>
          <w:sz w:val="20"/>
        </w:rPr>
        <w:t/>
      </w:r>
    </w:p>
    <w:p>
      <w:pPr>
        <w:pStyle w:val="ab"/>
      </w:pPr>
      <w:r>
        <w:t>发言人1 问：公司海工制造板块的未来展望是怎样的？</w:t>
      </w:r>
    </w:p>
    <w:p>
      <w:r>
        <w:rPr>
          <w:rFonts w:ascii="等线(中文正文)" w:hAnsi="等线(中文正文)" w:cs="等线(中文正文)" w:eastAsia="等线(中文正文)"/>
          <w:b w:val="false"/>
          <w:i w:val="false"/>
          <w:sz w:val="20"/>
        </w:rPr>
        <w:t>发言人1 答：对于海工制造板块，我们预计在三年内，乐观情况下可展望到70到80亿的硬水平。其中，船舶制造方面，盘锦产能每年约6到8艘，唐山曹妃甸产能今年二月份开工，有望实现200亿产值，这包括了部分海工基础产能。另外，结合商城和高端海工程，预计净利率分别为10%和20%，按照15%的净率假设，传播业务可能带来20亿业绩。安装船方面，公司规划了三条安装船，目前有一条与郑力合作的已大部分建设完成，预计最快可在28年底投产。</w:t>
      </w:r>
    </w:p>
    <w:p>
      <w:r>
        <w:rPr>
          <w:rFonts w:ascii="等线(中文正文)" w:hAnsi="等线(中文正文)" w:cs="等线(中文正文)" w:eastAsia="等线(中文正文)"/>
          <w:b w:val="false"/>
          <w:i w:val="false"/>
          <w:sz w:val="20"/>
        </w:rPr>
        <w:t/>
      </w:r>
    </w:p>
    <w:p>
      <w:pPr>
        <w:pStyle w:val="ab"/>
      </w:pPr>
      <w:r>
        <w:t>发言人1 问：安装船项目的合作模式和预期盈利情况如何？公司还有哪些其他业务板块的业绩预期？</w:t>
      </w:r>
    </w:p>
    <w:p>
      <w:r>
        <w:rPr>
          <w:rFonts w:ascii="等线(中文正文)" w:hAnsi="等线(中文正文)" w:cs="等线(中文正文)" w:eastAsia="等线(中文正文)"/>
          <w:b w:val="false"/>
          <w:i w:val="false"/>
          <w:sz w:val="20"/>
        </w:rPr>
        <w:t>发言人1 答：公司计划与欧洲的小型安装供应商合作，预计持股80%，对方持股20%。合作方提供人员和安装经验，每艘安装船预计每年可实现约12亿元盈利，考虑公司持股比例，安装船业务整体有望达到20亿元盈利水平。除了安装船业务外，海外陆风、国内陆风海风以及电站收入也能贡献大约6亿的业绩体量。因此，综合来看，未来公司的整体业绩天花板被进一步打开，从目前的盈利水平和估值角度考虑，仍有较大的上升空间。随着今年订单落地，市值预期可以展望至1000亿。</w:t>
      </w:r>
    </w:p>
    <w:p>
      <w:r>
        <w:rPr>
          <w:rFonts w:ascii="等线(中文正文)" w:hAnsi="等线(中文正文)" w:cs="等线(中文正文)" w:eastAsia="等线(中文正文)"/>
          <w:b w:val="false"/>
          <w:i w:val="false"/>
          <w:sz w:val="20"/>
        </w:rPr>
        <w:t/>
      </w:r>
    </w:p>
    <w:p>
      <w:pPr>
        <w:pStyle w:val="ab"/>
      </w:pPr>
      <w:r>
        <w:t>发言人1 问：欧洲海风项目的开发流程和中期需求景气度的关键指标是什么？</w:t>
      </w:r>
    </w:p>
    <w:p>
      <w:r>
        <w:rPr>
          <w:rFonts w:ascii="等线(中文正文)" w:hAnsi="等线(中文正文)" w:cs="等线(中文正文)" w:eastAsia="等线(中文正文)"/>
          <w:b w:val="false"/>
          <w:i w:val="false"/>
          <w:sz w:val="20"/>
        </w:rPr>
        <w:t>发言人1 答：欧洲海风项目的开发流程较长，从立项到并网通常需要十年左右时间，关键节点包括政府拍卖、投资决策和并网。中期需求景气度最重要的指标是政府每年的拍卖指标。从过去几年的数据看，尤其是2022年之后，海风拍卖规模大幅度提升，即使2025年有所下降，但整体维持高位景气度。根据各个项目的并网节点梳理，从2026年至2030年，欧洲海上装机需求将呈现阶梯性提升，未来几年仍有进一步提升空间。</w:t>
      </w:r>
    </w:p>
    <w:p>
      <w:r>
        <w:rPr>
          <w:rFonts w:ascii="等线(中文正文)" w:hAnsi="等线(中文正文)" w:cs="等线(中文正文)" w:eastAsia="等线(中文正文)"/>
          <w:b w:val="false"/>
          <w:i w:val="false"/>
          <w:sz w:val="20"/>
        </w:rPr>
        <w:t/>
      </w:r>
    </w:p>
    <w:p>
      <w:pPr>
        <w:pStyle w:val="ab"/>
      </w:pPr>
      <w:r>
        <w:t>发言人1 问：欧洲海风投资市场的需求现状及核心痛点是什么？导致欧洲海风项目延期或暂停的主要原因有哪些？</w:t>
      </w:r>
    </w:p>
    <w:p>
      <w:r>
        <w:rPr>
          <w:rFonts w:ascii="等线(中文正文)" w:hAnsi="等线(中文正文)" w:cs="等线(中文正文)" w:eastAsia="等线(中文正文)"/>
          <w:b w:val="false"/>
          <w:i w:val="false"/>
          <w:sz w:val="20"/>
        </w:rPr>
        <w:t>发言人1 答：欧洲海风投资市场目前面临的主要痛点是需求端的持续下降，从2024年开始需求量明显下滑，这一趋势在欧洲风能协会的预测中有所体现。这种需求的不断减少导致市场对于估值和未来盈利存在顾虑，其核心原因在于政府拍卖机制设计与市场成本现状之间的错配。根据梳理，过去两年间欧洲海风项目延期或暂停的现象较为普遍，其中大约60%的项目延期发生在拍卖阶段，而开工前阶段还有40%的项目因成本端大幅度波动而延期。这些延期情况可以通过政府优化拍卖机制设计来避免。</w:t>
      </w:r>
    </w:p>
    <w:p>
      <w:r>
        <w:rPr>
          <w:rFonts w:ascii="等线(中文正文)" w:hAnsi="等线(中文正文)" w:cs="等线(中文正文)" w:eastAsia="等线(中文正文)"/>
          <w:b w:val="false"/>
          <w:i w:val="false"/>
          <w:sz w:val="20"/>
        </w:rPr>
        <w:t/>
      </w:r>
    </w:p>
    <w:p>
      <w:pPr>
        <w:pStyle w:val="ab"/>
      </w:pPr>
      <w:r>
        <w:t>发言人1 问：政府如何针对拍卖机制进行改革以增强投资确定性？</w:t>
      </w:r>
    </w:p>
    <w:p>
      <w:r>
        <w:rPr>
          <w:rFonts w:ascii="等线(中文正文)" w:hAnsi="等线(中文正文)" w:cs="等线(中文正文)" w:eastAsia="等线(中文正文)"/>
          <w:b w:val="false"/>
          <w:i w:val="false"/>
          <w:sz w:val="20"/>
        </w:rPr>
        <w:t>发言人1 答：德国、荷兰、丹麦等国家正在尝试从过去的副补贴模式转向引入更有利于开发商的成本友好的差价合约模式，并且波兰等国也开始考虑将远期定价收入根据通货膨胀指数进行调整，这些改革措施有助于提升海风项目的投资确定性。</w:t>
      </w:r>
    </w:p>
    <w:p>
      <w:r>
        <w:rPr>
          <w:rFonts w:ascii="等线(中文正文)" w:hAnsi="等线(中文正文)" w:cs="等线(中文正文)" w:eastAsia="等线(中文正文)"/>
          <w:b w:val="false"/>
          <w:i w:val="false"/>
          <w:sz w:val="20"/>
        </w:rPr>
        <w:t/>
      </w:r>
    </w:p>
    <w:p>
      <w:pPr>
        <w:pStyle w:val="ab"/>
      </w:pPr>
      <w:r>
        <w:t>发言人1 问：地缘冲突如何影响欧洲海风项目的推动？</w:t>
      </w:r>
    </w:p>
    <w:p>
      <w:r>
        <w:rPr>
          <w:rFonts w:ascii="等线(中文正文)" w:hAnsi="等线(中文正文)" w:cs="等线(中文正文)" w:eastAsia="等线(中文正文)"/>
          <w:b w:val="false"/>
          <w:i w:val="false"/>
          <w:sz w:val="20"/>
        </w:rPr>
        <w:t>发言人1 答：俄乌冲突后，欧盟提出了“power u”计划，旨在提供可负担、安全且可持续的能源。作为符合该计划要求的完美能源形式，海风项目受到了催化作用，尤其是在能源安全敏感神经被重新触动后，海风项目的推动得到了加强。</w:t>
      </w:r>
    </w:p>
    <w:p>
      <w:r>
        <w:rPr>
          <w:rFonts w:ascii="等线(中文正文)" w:hAnsi="等线(中文正文)" w:cs="等线(中文正文)" w:eastAsia="等线(中文正文)"/>
          <w:b w:val="false"/>
          <w:i w:val="false"/>
          <w:sz w:val="20"/>
        </w:rPr>
        <w:t/>
      </w:r>
    </w:p>
    <w:p>
      <w:pPr>
        <w:pStyle w:val="ab"/>
      </w:pPr>
      <w:r>
        <w:t>发言人1 问：海风项目为何被认为是欧洲清洁能源发展中最理想的能源形式？伊朗战争对欧洲能源结构的影响如何进一步推动海风项目的发展？</w:t>
      </w:r>
    </w:p>
    <w:p>
      <w:r>
        <w:rPr>
          <w:rFonts w:ascii="等线(中文正文)" w:hAnsi="等线(中文正文)" w:cs="等线(中文正文)" w:eastAsia="等线(中文正文)"/>
          <w:b w:val="false"/>
          <w:i w:val="false"/>
          <w:sz w:val="20"/>
        </w:rPr>
        <w:t>发言人1 答：海风项目的可负担性体现在其发电成本低于天然气，尤其在近期冲突导致天然气价格大幅上涨后，这一优势更加明显。此外，海风资源禀赋充裕，相比天然气供应更稳定，且产业链自主可控，符合欧盟对能源安全的需求。同时，海风作为清洁新能源，完全满足欧盟未来的可持续能源发展要求。伊朗战争爆发后，欧洲天然气价格大幅上涨，凸显出能源供应紧平衡的问题。这促使英国、法国、荷兰等国出台措施加速海风项目拍卖，作为对海风中期需求的重要衡量指标，今年对于海风项目的拍卖政策支持力度有望复制2022年俄乌冲突后的盛况。</w:t>
      </w:r>
    </w:p>
    <w:p>
      <w:r>
        <w:rPr>
          <w:rFonts w:ascii="等线(中文正文)" w:hAnsi="等线(中文正文)" w:cs="等线(中文正文)" w:eastAsia="等线(中文正文)"/>
          <w:b w:val="false"/>
          <w:i w:val="false"/>
          <w:sz w:val="20"/>
        </w:rPr>
        <w:t/>
      </w:r>
    </w:p>
    <w:p>
      <w:pPr>
        <w:pStyle w:val="ab"/>
      </w:pPr>
      <w:r>
        <w:t>发言人1 问：从中期和长期角度看，欧洲海风需求有哪些重要的推动因素？</w:t>
      </w:r>
    </w:p>
    <w:p>
      <w:r>
        <w:rPr>
          <w:rFonts w:ascii="等线(中文正文)" w:hAnsi="等线(中文正文)" w:cs="等线(中文正文)" w:eastAsia="等线(中文正文)"/>
          <w:b w:val="false"/>
          <w:i w:val="false"/>
          <w:sz w:val="20"/>
        </w:rPr>
        <w:t>发言人1 答：从中期和长期看，欧洲海风需求有两大关键点。首先，欧洲本土推行电气化以及数据中心带来的用电量提升将重新带动欧洲用电量需求进入健康增长趋势，其中数据中心是重要因素之一。其次，政策催化方面，今年欧盟计划在二季度出台的数据中心法案要求新建数据中心全部采用绿电供应，这将对海丰数据中心的PK签约规模产生重要影响，并在未来进一步爆发。</w:t>
      </w:r>
    </w:p>
    <w:p>
      <w:r>
        <w:rPr>
          <w:rFonts w:ascii="等线(中文正文)" w:hAnsi="等线(中文正文)" w:cs="等线(中文正文)" w:eastAsia="等线(中文正文)"/>
          <w:b w:val="false"/>
          <w:i w:val="false"/>
          <w:sz w:val="20"/>
        </w:rPr>
        <w:t/>
      </w:r>
    </w:p>
    <w:p>
      <w:pPr>
        <w:pStyle w:val="ab"/>
      </w:pPr>
      <w:r>
        <w:t>发言人1 问：欧洲海风各环节中哪些最具出海潜力？</w:t>
      </w:r>
    </w:p>
    <w:p>
      <w:r>
        <w:rPr>
          <w:rFonts w:ascii="等线(中文正文)" w:hAnsi="等线(中文正文)" w:cs="等线(中文正文)" w:eastAsia="等线(中文正文)"/>
          <w:b w:val="false"/>
          <w:i w:val="false"/>
          <w:sz w:val="20"/>
        </w:rPr>
        <w:t>发言人1 答：整体而言，欧洲海风的管桩环节最具出海潜力，其次是浮式风机，然后是海缆和风机零部件。尤其在风机大型化趋势下，国内企业在十兆瓦级乃至十五兆瓦级风机供应方面具备优势，有望抓住欧洲本土产能紧缺的机会。同时，全球海缆供需缺口在未来几年也会为国内企业提供更多海外订单机会。</w:t>
      </w:r>
    </w:p>
    <w:p>
      <w:r>
        <w:rPr>
          <w:rFonts w:ascii="等线(中文正文)" w:hAnsi="等线(中文正文)" w:cs="等线(中文正文)" w:eastAsia="等线(中文正文)"/>
          <w:b w:val="false"/>
          <w:i w:val="false"/>
          <w:sz w:val="20"/>
        </w:rPr>
        <w:t/>
      </w:r>
    </w:p>
    <w:p>
      <w:pPr>
        <w:pStyle w:val="ab"/>
      </w:pPr>
      <w:r>
        <w:t>发言人1 问：欧洲海风项目目前进展如何，以及供应链方面有何变化？</w:t>
      </w:r>
    </w:p>
    <w:p>
      <w:r>
        <w:rPr>
          <w:rFonts w:ascii="等线(中文正文)" w:hAnsi="等线(中文正文)" w:cs="等线(中文正文)" w:eastAsia="等线(中文正文)"/>
          <w:b w:val="false"/>
          <w:i w:val="false"/>
          <w:sz w:val="20"/>
        </w:rPr>
        <w:t>发言人1 答：目前，欧洲海风项目中已完成拍卖的57个项目中，有42个还未完成最终投资决策，且大多将在2022年之后陆续并网。供应链方面，以管桩环节为例，从2020年到2025年，历史数据显示大部分项目会在并网前3到4年完成供应链订单签约。这意味着今年管桩环节的订单需求释放量将达到11G瓦，明年将达到13G瓦，较前几年有显著提升。</w:t>
      </w:r>
    </w:p>
    <w:p>
      <w:r>
        <w:rPr>
          <w:rFonts w:ascii="等线(中文正文)" w:hAnsi="等线(中文正文)" w:cs="等线(中文正文)" w:eastAsia="等线(中文正文)"/>
          <w:b w:val="false"/>
          <w:i w:val="false"/>
          <w:sz w:val="20"/>
        </w:rPr>
        <w:t/>
      </w:r>
    </w:p>
    <w:p>
      <w:pPr>
        <w:pStyle w:val="ab"/>
      </w:pPr>
      <w:r>
        <w:t>发言人1 问：欧洲海风市场对于本地化的要求如何影响国内供应链出海？</w:t>
      </w:r>
    </w:p>
    <w:p>
      <w:r>
        <w:rPr>
          <w:rFonts w:ascii="等线(中文正文)" w:hAnsi="等线(中文正文)" w:cs="等线(中文正文)" w:eastAsia="等线(中文正文)"/>
          <w:b w:val="false"/>
          <w:i w:val="false"/>
          <w:sz w:val="20"/>
        </w:rPr>
        <w:t>发言人1 答：欧洲海风市场对本地化的短期影响有限，国内企业可通过产能向欧洲供应用以满足当地需求。但在评分标准中已纳入降低碳足迹和供应链多元化的考量。长远来看，本地化将成为竞争关键要素，但国内企业如能在有效产能和技术上达到要求，仍有机会实现出海竞争。</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2026-04-19T16:20:56Z</dcterms:created>
  <dc:creator>Apache POI</dc:creator>
</cp:coreProperties>
</file>