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东方雨虹 260417_导读</w:t>
      </w:r>
    </w:p>
    <w:p>
      <w:pPr>
        <w:pStyle w:val="a0"/>
        <w:jc w:val="center"/>
      </w:pPr>
      <w:r>
        <w:t>2026年04月20日 00:16</w:t>
      </w:r>
    </w:p>
    <w:p>
      <w:pPr>
        <w:pStyle w:val="a7"/>
      </w:pPr>
      <w:r>
        <w:t>关键词</w:t>
      </w:r>
    </w:p>
    <w:p>
      <w:r>
        <w:rPr>
          <w:rFonts w:ascii="等线(中文正文)" w:hAnsi="等线(中文正文)" w:cs="等线(中文正文)" w:eastAsia="等线(中文正文)"/>
          <w:b w:val="false"/>
          <w:i w:val="false"/>
          <w:sz w:val="20"/>
        </w:rPr>
        <w:t xml:space="preserve">东方雨虹 收入增长 毛利率提升 零售渠道 工程渠道 海外市场 并购 卷材销量 市场份额 防水行业 提价 产能利用率 C加小B 直销 砂粉 新品类 零售 毛利率 收入规模 自建房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东方雨虹公司一季度实现收入增长15.5%，达到70亿规模，通过海外扩张、并购及加强零售渠道业务，尤其是零售和工程渠道收入增长，推动整体业务模式向C端和小B客户倾斜。公司毛利率提升至27%，得益于零售业务高毛利及并购公司高附加值板块的贡献。通过优化成本和费用管理，期间费用率下降。砂粉业务成为增长点，目标今年销量突破10亿平米。公司强调，通过3515计划等策略，加强下沉市场和自建房维修市场，同时海外业务收入显著增长，目标26年突破45亿收入规模，实现扭亏为盈。未来，东方雨虹计划加速市场份额提升，新品类扩张，零售渠道下沉，以及海外业务发展，应对市场挑战，利用行业马太效应推动增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雨虹一季度业绩亮眼：双位数增长与高毛利率</w:t>
      </w:r>
    </w:p>
    <w:p>
      <w:r>
        <w:rPr>
          <w:rFonts w:ascii="等线(中文正文)" w:hAnsi="等线(中文正文)" w:cs="等线(中文正文)" w:eastAsia="等线(中文正文)"/>
          <w:b w:val="false"/>
          <w:i w:val="false"/>
          <w:sz w:val="20"/>
        </w:rPr>
        <w:t>一季度，雨虹实现15.5%的增长，收入达70亿以上，利润创历史新高。零售渠道收入占比提升至42%，毛利率增长三个点至27%，主要得益于并购的高毛利零售业务。工程渠道收入达30.5亿，同比增长17%。费用率下降，成本管控优化，净利润达4亿，创下单季历史新高。</w:t>
      </w:r>
    </w:p>
    <w:p>
      <w:r>
        <w:rPr>
          <w:rFonts w:ascii="等线(中文正文)" w:hAnsi="等线(中文正文)" w:cs="等线(中文正文)" w:eastAsia="等线(中文正文)"/>
          <w:b w:val="false"/>
          <w:i w:val="false"/>
          <w:sz w:val="20"/>
        </w:rPr>
        <w:t/>
      </w:r>
    </w:p>
    <w:p>
      <w:pPr>
        <w:pStyle w:val="ab"/>
        <w:numPr>
          <w:numId w:val="2"/>
        </w:numPr>
      </w:pPr>
      <w:r>
        <w:t>06:03 雨虹防水收入展望与行业趋势分析</w:t>
      </w:r>
    </w:p>
    <w:p>
      <w:r>
        <w:rPr>
          <w:rFonts w:ascii="等线(中文正文)" w:hAnsi="等线(中文正文)" w:cs="等线(中文正文)" w:eastAsia="等线(中文正文)"/>
          <w:b w:val="false"/>
          <w:i w:val="false"/>
          <w:sz w:val="20"/>
        </w:rPr>
        <w:t>对话围绕雨虹防水一季度收入增长及全年收入展望展开，指出尽管地产行业下滑，雨虹仍有望创历史新高，目标26年卷材销量破10亿平米。行业提价反映格局优化，未来盈利状况看好，预计完成300亿收入预算有信心。</w:t>
      </w:r>
    </w:p>
    <w:p>
      <w:r>
        <w:rPr>
          <w:rFonts w:ascii="等线(中文正文)" w:hAnsi="等线(中文正文)" w:cs="等线(中文正文)" w:eastAsia="等线(中文正文)"/>
          <w:b w:val="false"/>
          <w:i w:val="false"/>
          <w:sz w:val="20"/>
        </w:rPr>
        <w:t/>
      </w:r>
    </w:p>
    <w:p>
      <w:pPr>
        <w:pStyle w:val="ab"/>
        <w:numPr>
          <w:numId w:val="3"/>
        </w:numPr>
      </w:pPr>
      <w:r>
        <w:t>10:56 行业出清与海外布局推动东方雨虹增长</w:t>
      </w:r>
    </w:p>
    <w:p>
      <w:r>
        <w:rPr>
          <w:rFonts w:ascii="等线(中文正文)" w:hAnsi="等线(中文正文)" w:cs="等线(中文正文)" w:eastAsia="等线(中文正文)"/>
          <w:b w:val="false"/>
          <w:i w:val="false"/>
          <w:sz w:val="20"/>
        </w:rPr>
        <w:t>对话讨论了东方雨虹增长动力的来源，指出行业供给端加速出清，使头部企业市场份额快速提升，成为收入增长的核心动力。此外，东方雨虹积极布局海外供应链体系，通过并购和渠道合作进入海外市场，海外收入从2024年的8亿增长至16亿，成为未来重要增长路径。</w:t>
      </w:r>
    </w:p>
    <w:p>
      <w:r>
        <w:rPr>
          <w:rFonts w:ascii="等线(中文正文)" w:hAnsi="等线(中文正文)" w:cs="等线(中文正文)" w:eastAsia="等线(中文正文)"/>
          <w:b w:val="false"/>
          <w:i w:val="false"/>
          <w:sz w:val="20"/>
        </w:rPr>
        <w:t/>
      </w:r>
    </w:p>
    <w:p>
      <w:pPr>
        <w:pStyle w:val="ab"/>
        <w:numPr>
          <w:numId w:val="4"/>
        </w:numPr>
      </w:pPr>
      <w:r>
        <w:t>15:13 东方雨虹海外业务与沙粉销量双增长</w:t>
      </w:r>
    </w:p>
    <w:p>
      <w:r>
        <w:rPr>
          <w:rFonts w:ascii="等线(中文正文)" w:hAnsi="等线(中文正文)" w:cs="等线(中文正文)" w:eastAsia="等线(中文正文)"/>
          <w:b w:val="false"/>
          <w:i w:val="false"/>
          <w:sz w:val="20"/>
        </w:rPr>
        <w:t>对话中提到，东方雨虹的海外业务在一季度实现扭亏为盈，收入规模达9.8亿，同比增长157%，主要得益于并购标的贡献和自营渠道拓展。未来目标是海外收入突破45亿，并成为利润增长的重要来源。此外，沙粉销量去年达1200万吨，同比增长50%，今年一季度即便在淡季也卖出300多万吨，增长50%，目标是销量突破2000万吨。</w:t>
      </w:r>
    </w:p>
    <w:p>
      <w:r>
        <w:rPr>
          <w:rFonts w:ascii="等线(中文正文)" w:hAnsi="等线(中文正文)" w:cs="等线(中文正文)" w:eastAsia="等线(中文正文)"/>
          <w:b w:val="false"/>
          <w:i w:val="false"/>
          <w:sz w:val="20"/>
        </w:rPr>
        <w:t/>
      </w:r>
    </w:p>
    <w:p>
      <w:pPr>
        <w:pStyle w:val="ab"/>
        <w:numPr>
          <w:numId w:val="5"/>
        </w:numPr>
      </w:pPr>
      <w:r>
        <w:t>18:10 沙粉新品类拓展与工业品发展策略</w:t>
      </w:r>
    </w:p>
    <w:p>
      <w:r>
        <w:rPr>
          <w:rFonts w:ascii="等线(中文正文)" w:hAnsi="等线(中文正文)" w:cs="等线(中文正文)" w:eastAsia="等线(中文正文)"/>
          <w:b w:val="false"/>
          <w:i w:val="false"/>
          <w:sz w:val="20"/>
        </w:rPr>
        <w:t>对话讨论了沙粉产品结构优化，特别是向工业品如钙基粉体等领域的拓展，以提升毛利率和市场空间。强调了利用现有品牌和渠道优势，将新品类嫁接到市场，提升销售效率，增加收入和利润来源。展望未来，沙粉新品类将成为收入利润增长的重要来源。</w:t>
      </w:r>
    </w:p>
    <w:p>
      <w:r>
        <w:rPr>
          <w:rFonts w:ascii="等线(中文正文)" w:hAnsi="等线(中文正文)" w:cs="等线(中文正文)" w:eastAsia="等线(中文正文)"/>
          <w:b w:val="false"/>
          <w:i w:val="false"/>
          <w:sz w:val="20"/>
        </w:rPr>
        <w:t/>
      </w:r>
    </w:p>
    <w:p>
      <w:pPr>
        <w:pStyle w:val="ab"/>
        <w:numPr>
          <w:numId w:val="6"/>
        </w:numPr>
      </w:pPr>
      <w:r>
        <w:t>21:30 零售市场增长策略：品类扩张与下沉市场布局</w:t>
      </w:r>
    </w:p>
    <w:p>
      <w:r>
        <w:rPr>
          <w:rFonts w:ascii="等线(中文正文)" w:hAnsi="等线(中文正文)" w:cs="等线(中文正文)" w:eastAsia="等线(中文正文)"/>
          <w:b w:val="false"/>
          <w:i w:val="false"/>
          <w:sz w:val="20"/>
        </w:rPr>
        <w:t>讨论了零售市场份额提升的策略，重点在于品类扩张和渠道下沉，特别是三四线城市及更下沉市场的自建房维修需求，如卷材维修品类的快速增长，以及3515计划的目标，即未来三年在500个县城实现1000万收入，预计贡献50亿产值，展示了对下沉市场机遇的把握和信心。</w:t>
      </w:r>
    </w:p>
    <w:p>
      <w:r>
        <w:rPr>
          <w:rFonts w:ascii="等线(中文正文)" w:hAnsi="等线(中文正文)" w:cs="等线(中文正文)" w:eastAsia="等线(中文正文)"/>
          <w:b w:val="false"/>
          <w:i w:val="false"/>
          <w:sz w:val="20"/>
        </w:rPr>
        <w:t/>
      </w:r>
    </w:p>
    <w:p>
      <w:pPr>
        <w:pStyle w:val="ab"/>
        <w:numPr>
          <w:numId w:val="7"/>
        </w:numPr>
      </w:pPr>
      <w:r>
        <w:t>26:23 行业竞争格局优化与头部企业合作机制建立</w:t>
      </w:r>
    </w:p>
    <w:p>
      <w:r>
        <w:rPr>
          <w:rFonts w:ascii="等线(中文正文)" w:hAnsi="等线(中文正文)" w:cs="等线(中文正文)" w:eastAsia="等线(中文正文)"/>
          <w:b w:val="false"/>
          <w:i w:val="false"/>
          <w:sz w:val="20"/>
        </w:rPr>
        <w:t>对话讨论了通过并购和业务发展提升高附加值板块占比，优化行业竞争格局，促使头部企业形成合作机制，结束价格战，实现价格止跌与市场协同，加速原材料价格上涨背景下的市场机制落地。</w:t>
      </w:r>
    </w:p>
    <w:p>
      <w:r>
        <w:rPr>
          <w:rFonts w:ascii="等线(中文正文)" w:hAnsi="等线(中文正文)" w:cs="等线(中文正文)" w:eastAsia="等线(中文正文)"/>
          <w:b w:val="false"/>
          <w:i w:val="false"/>
          <w:sz w:val="20"/>
        </w:rPr>
        <w:t/>
      </w:r>
    </w:p>
    <w:p>
      <w:pPr>
        <w:pStyle w:val="ab"/>
        <w:numPr>
          <w:numId w:val="8"/>
        </w:numPr>
      </w:pPr>
      <w:r>
        <w:t>31:02 头部企业应对大宗材料价格上涨的合作机制</w:t>
      </w:r>
    </w:p>
    <w:p>
      <w:r>
        <w:rPr>
          <w:rFonts w:ascii="等线(中文正文)" w:hAnsi="等线(中文正文)" w:cs="等线(中文正文)" w:eastAsia="等线(中文正文)"/>
          <w:b w:val="false"/>
          <w:i w:val="false"/>
          <w:sz w:val="20"/>
        </w:rPr>
        <w:t>对话探讨了头部企业在大宗材料价格上涨背景下，如何通过建立合作机制、产品调价及技术改进等措施，共同应对成本压力，优化竞争格局。企业不仅自发调整产品价格，还通过技术优化和掌握核心原材料产能，系统性化解成本压力。</w:t>
      </w:r>
    </w:p>
    <w:p>
      <w:r>
        <w:rPr>
          <w:rFonts w:ascii="等线(中文正文)" w:hAnsi="等线(中文正文)" w:cs="等线(中文正文)" w:eastAsia="等线(中文正文)"/>
          <w:b w:val="false"/>
          <w:i w:val="false"/>
          <w:sz w:val="20"/>
        </w:rPr>
        <w:t/>
      </w:r>
    </w:p>
    <w:p>
      <w:pPr>
        <w:pStyle w:val="ab"/>
        <w:numPr>
          <w:numId w:val="9"/>
        </w:numPr>
      </w:pPr>
      <w:r>
        <w:t>35:41 非标市场竞争与海外工厂进度更新</w:t>
      </w:r>
    </w:p>
    <w:p>
      <w:r>
        <w:rPr>
          <w:rFonts w:ascii="等线(中文正文)" w:hAnsi="等线(中文正文)" w:cs="等线(中文正文)" w:eastAsia="等线(中文正文)"/>
          <w:b w:val="false"/>
          <w:i w:val="false"/>
          <w:sz w:val="20"/>
        </w:rPr>
        <w:t>对话主要围绕非标市场竞争策略的实施进度、海外工厂特别是美国工厂的投产时间线及TPO量的指引更新，以及沙沙粉集团矿山项目进展展开。提及美国工厂预计9月投产，墨西哥工厂预计10月投产，矿山项目下半年将有显著进展，对收入和利润结构有积极影响。</w:t>
      </w:r>
    </w:p>
    <w:p>
      <w:r>
        <w:rPr>
          <w:rFonts w:ascii="等线(中文正文)" w:hAnsi="等线(中文正文)" w:cs="等线(中文正文)" w:eastAsia="等线(中文正文)"/>
          <w:b w:val="false"/>
          <w:i w:val="false"/>
          <w:sz w:val="20"/>
        </w:rPr>
        <w:t/>
      </w:r>
    </w:p>
    <w:p>
      <w:pPr>
        <w:pStyle w:val="ab"/>
        <w:numPr>
          <w:numId w:val="10"/>
        </w:numPr>
      </w:pPr>
      <w:r>
        <w:t>40:21 公司采购与海外业务财务情况</w:t>
      </w:r>
    </w:p>
    <w:p>
      <w:r>
        <w:rPr>
          <w:rFonts w:ascii="等线(中文正文)" w:hAnsi="等线(中文正文)" w:cs="等线(中文正文)" w:eastAsia="等线(中文正文)"/>
          <w:b w:val="false"/>
          <w:i w:val="false"/>
          <w:sz w:val="20"/>
        </w:rPr>
        <w:t>对话围绕公司沥青库存采购及消耗情况展开，透露去年底至今年初采购策略，库存预计可维持至5月底至6月初。随后讨论一季度海外业务收入，包括并表与非并表贡献，总计9.8亿，其中5.2亿为并表收入，全年目标45亿收入并实现扭亏为盈。</w:t>
      </w:r>
    </w:p>
    <w:p>
      <w:r>
        <w:rPr>
          <w:rFonts w:ascii="等线(中文正文)" w:hAnsi="等线(中文正文)" w:cs="等线(中文正文)" w:eastAsia="等线(中文正文)"/>
          <w:b w:val="false"/>
          <w:i w:val="false"/>
          <w:sz w:val="20"/>
        </w:rPr>
        <w:t/>
      </w:r>
    </w:p>
    <w:p>
      <w:pPr>
        <w:pStyle w:val="ab"/>
        <w:numPr>
          <w:numId w:val="11"/>
        </w:numPr>
      </w:pPr>
      <w:r>
        <w:t>43:02 公司供给方存量与减值计划分析</w:t>
      </w:r>
    </w:p>
    <w:p>
      <w:r>
        <w:rPr>
          <w:rFonts w:ascii="等线(中文正文)" w:hAnsi="等线(中文正文)" w:cs="等线(中文正文)" w:eastAsia="等线(中文正文)"/>
          <w:b w:val="false"/>
          <w:i w:val="false"/>
          <w:sz w:val="20"/>
        </w:rPr>
        <w:t>对话涉及公司供给方存量规模，包括应收账款、其他应收款及其他非流动资产，总额约50亿。去年计提减值约15亿，债务重组损失约1亿，总损失近17亿。预计今年减值规模较去年减少，高峰已过，但仍有剩余消化。</w:t>
      </w:r>
    </w:p>
    <w:p>
      <w:r>
        <w:rPr>
          <w:rFonts w:ascii="等线(中文正文)" w:hAnsi="等线(中文正文)" w:cs="等线(中文正文)" w:eastAsia="等线(中文正文)"/>
          <w:b w:val="false"/>
          <w:i w:val="false"/>
          <w:sz w:val="20"/>
        </w:rPr>
        <w:t/>
      </w:r>
    </w:p>
    <w:p>
      <w:pPr>
        <w:pStyle w:val="ab"/>
        <w:numPr>
          <w:numId w:val="12"/>
        </w:numPr>
      </w:pPr>
      <w:r>
        <w:t>45:13 海外营收与毛利率展望</w:t>
      </w:r>
    </w:p>
    <w:p>
      <w:r>
        <w:rPr>
          <w:rFonts w:ascii="等线(中文正文)" w:hAnsi="等线(中文正文)" w:cs="等线(中文正文)" w:eastAsia="等线(中文正文)"/>
          <w:b w:val="false"/>
          <w:i w:val="false"/>
          <w:sz w:val="20"/>
        </w:rPr>
        <w:t>讨论了全年海外业务营收目标为45亿，以及QE公司毛利率变化的原因，包括会计准则调整、大宗材料价格波动和行业价格战的影响，同时展望了未来毛利率恢复的可能。</w:t>
      </w:r>
    </w:p>
    <w:p>
      <w:r>
        <w:rPr>
          <w:rFonts w:ascii="等线(中文正文)" w:hAnsi="等线(中文正文)" w:cs="等线(中文正文)" w:eastAsia="等线(中文正文)"/>
          <w:b w:val="false"/>
          <w:i w:val="false"/>
          <w:sz w:val="20"/>
        </w:rPr>
        <w:t/>
      </w:r>
    </w:p>
    <w:p>
      <w:pPr>
        <w:pStyle w:val="ab"/>
        <w:numPr>
          <w:numId w:val="13"/>
        </w:numPr>
      </w:pPr>
      <w:r>
        <w:t>50:56 25年收现比下降原因分析及趋势预测</w:t>
      </w:r>
    </w:p>
    <w:p>
      <w:r>
        <w:rPr>
          <w:rFonts w:ascii="等线(中文正文)" w:hAnsi="等线(中文正文)" w:cs="等线(中文正文)" w:eastAsia="等线(中文正文)"/>
          <w:b w:val="false"/>
          <w:i w:val="false"/>
          <w:sz w:val="20"/>
        </w:rPr>
        <w:t>讨论了25年收现比同比24年下降约十个点的原因，指出销售商品提供劳务收到的现金同比下降三十多亿，而收入基本持平。分析认为，收现比的下降与预收账款转好、收款节点提前至1130日、以及房地产渠道架构改变导致的历史清欠老房地产项目有关。预测26年到25年的收现比将趋于持平，反映了一种长期趋势。</w:t>
      </w:r>
    </w:p>
    <w:p>
      <w:r>
        <w:rPr>
          <w:rFonts w:ascii="等线(中文正文)" w:hAnsi="等线(中文正文)" w:cs="等线(中文正文)" w:eastAsia="等线(中文正文)"/>
          <w:b w:val="false"/>
          <w:i w:val="false"/>
          <w:sz w:val="20"/>
        </w:rPr>
        <w:t/>
      </w:r>
    </w:p>
    <w:p>
      <w:pPr>
        <w:pStyle w:val="ab"/>
        <w:numPr>
          <w:numId w:val="14"/>
        </w:numPr>
      </w:pPr>
      <w:r>
        <w:t>53:03 26年资本开支规划及国内外矿山投资策略</w:t>
      </w:r>
    </w:p>
    <w:p>
      <w:r>
        <w:rPr>
          <w:rFonts w:ascii="等线(中文正文)" w:hAnsi="等线(中文正文)" w:cs="等线(中文正文)" w:eastAsia="等线(中文正文)"/>
          <w:b w:val="false"/>
          <w:i w:val="false"/>
          <w:sz w:val="20"/>
        </w:rPr>
        <w:t>讨论了26年的资本开支规划，预计总规模约为十来亿。其中，海外矿山投资为主要方向，国内矿山则以日常维护为主，新增投入有限。海外投资侧重于建厂与并购，而国内矿产法改革使得买矿成本分散，每年投入约千万级。整体策略倾向于海外投资，以寻找优质渠道和落脚点。</w:t>
      </w:r>
    </w:p>
    <w:p>
      <w:r>
        <w:rPr>
          <w:rFonts w:ascii="等线(中文正文)" w:hAnsi="等线(中文正文)" w:cs="等线(中文正文)" w:eastAsia="等线(中文正文)"/>
          <w:b w:val="false"/>
          <w:i w:val="false"/>
          <w:sz w:val="20"/>
        </w:rPr>
        <w:t/>
      </w:r>
    </w:p>
    <w:p>
      <w:pPr>
        <w:pStyle w:val="ab"/>
        <w:numPr>
          <w:numId w:val="15"/>
        </w:numPr>
      </w:pPr>
      <w:r>
        <w:t>54:38 CMT净利率提升与供应链赋能</w:t>
      </w:r>
    </w:p>
    <w:p>
      <w:r>
        <w:rPr>
          <w:rFonts w:ascii="等线(中文正文)" w:hAnsi="等线(中文正文)" w:cs="等线(中文正文)" w:eastAsia="等线(中文正文)"/>
          <w:b w:val="false"/>
          <w:i w:val="false"/>
          <w:sz w:val="20"/>
        </w:rPr>
        <w:t>讨论了CMT未来几年的净利率提升计划，目标是通过供应链优化和认证过程，从当前的2%左右逐步提升至7%-8%，长远目标是达到10%，并强调了供应链完善对提升净利率的关键作用。</w:t>
      </w:r>
    </w:p>
    <w:p>
      <w:r>
        <w:rPr>
          <w:rFonts w:ascii="等线(中文正文)" w:hAnsi="等线(中文正文)" w:cs="等线(中文正文)" w:eastAsia="等线(中文正文)"/>
          <w:b w:val="false"/>
          <w:i w:val="false"/>
          <w:sz w:val="20"/>
        </w:rPr>
        <w:t/>
      </w:r>
    </w:p>
    <w:p>
      <w:pPr>
        <w:pStyle w:val="ab"/>
        <w:numPr>
          <w:numId w:val="16"/>
        </w:numPr>
      </w:pPr>
      <w:r>
        <w:t>58:12 砂粉发货量与收入不匹配的原因及解决方案</w:t>
      </w:r>
    </w:p>
    <w:p>
      <w:r>
        <w:rPr>
          <w:rFonts w:ascii="等线(中文正文)" w:hAnsi="等线(中文正文)" w:cs="等线(中文正文)" w:eastAsia="等线(中文正文)"/>
          <w:b w:val="false"/>
          <w:i w:val="false"/>
          <w:sz w:val="20"/>
        </w:rPr>
        <w:t>讨论了砂粉发货量高速增长但收入变化不大的现象，指出产品结构调整与总额法净额法计算方式是主要原因。产品结构调整涉及多种砂浆产品，单价差异大；总额法净额法则因贸易性质影响收入计算。未来通过自建产能解决收入与发货量不匹配问题。</w:t>
      </w:r>
    </w:p>
    <w:p>
      <w:r>
        <w:rPr>
          <w:rFonts w:ascii="等线(中文正文)" w:hAnsi="等线(中文正文)" w:cs="等线(中文正文)" w:eastAsia="等线(中文正文)"/>
          <w:b w:val="false"/>
          <w:i w:val="false"/>
          <w:sz w:val="20"/>
        </w:rPr>
        <w:t/>
      </w:r>
    </w:p>
    <w:p>
      <w:pPr>
        <w:pStyle w:val="ab"/>
        <w:numPr>
          <w:numId w:val="17"/>
        </w:numPr>
      </w:pPr>
      <w:r>
        <w:t>01:01:38 公司现金流与资产减值情况分析</w:t>
      </w:r>
    </w:p>
    <w:p>
      <w:r>
        <w:rPr>
          <w:rFonts w:ascii="等线(中文正文)" w:hAnsi="等线(中文正文)" w:cs="等线(中文正文)" w:eastAsia="等线(中文正文)"/>
          <w:b w:val="false"/>
          <w:i w:val="false"/>
          <w:sz w:val="20"/>
        </w:rPr>
        <w:t>对话围绕公司2026年一季度经营活动现金流净额不佳的原因展开，指出尽管现金流表现不佳，但公司通过抓住市场机遇进行冬储，展现了良好的成本控制与利润贡献能力，认为此举对公司未来毛利率提升有积极影响。同时，提及资产减值和信用减值的预期规模，认为高峰已过，减值虽存在但影响将减弱。</w:t>
      </w:r>
    </w:p>
    <w:p>
      <w:r>
        <w:rPr>
          <w:rFonts w:ascii="等线(中文正文)" w:hAnsi="等线(中文正文)" w:cs="等线(中文正文)" w:eastAsia="等线(中文正文)"/>
          <w:b w:val="false"/>
          <w:i w:val="false"/>
          <w:sz w:val="20"/>
        </w:rPr>
        <w:t/>
      </w:r>
    </w:p>
    <w:p>
      <w:pPr>
        <w:pStyle w:val="ab"/>
        <w:numPr>
          <w:numId w:val="18"/>
        </w:numPr>
      </w:pPr>
      <w:r>
        <w:t>01:04:56 沥青及其他原材料成本占比与涨幅分析</w:t>
      </w:r>
    </w:p>
    <w:p>
      <w:r>
        <w:rPr>
          <w:rFonts w:ascii="等线(中文正文)" w:hAnsi="等线(中文正文)" w:cs="等线(中文正文)" w:eastAsia="等线(中文正文)"/>
          <w:b w:val="false"/>
          <w:i w:val="false"/>
          <w:sz w:val="20"/>
        </w:rPr>
        <w:t>对话主要讨论了沥青在公司原材料成本中的占比约为30%，以及今年以来沥青价格的涨幅情况。沥青价格从年初或去年年底的约3000元涨至当前的4400多元，涨幅显著。此外，提及过去几年沥青的库存成本普遍较高，大约在3600元左右，尽管去年年底价格有所下降，但整体运行成本依然维持在较高水平。</w:t>
      </w:r>
    </w:p>
    <w:p>
      <w:r>
        <w:rPr>
          <w:rFonts w:ascii="等线(中文正文)" w:hAnsi="等线(中文正文)" w:cs="等线(中文正文)" w:eastAsia="等线(中文正文)"/>
          <w:b w:val="false"/>
          <w:i w:val="false"/>
          <w:sz w:val="20"/>
        </w:rPr>
        <w:t/>
      </w:r>
    </w:p>
    <w:p>
      <w:pPr>
        <w:pStyle w:val="ab"/>
        <w:numPr>
          <w:numId w:val="19"/>
        </w:numPr>
      </w:pPr>
      <w:r>
        <w:t>01:06:28 行业出清与头部企业集中趋势</w:t>
      </w:r>
    </w:p>
    <w:p>
      <w:r>
        <w:rPr>
          <w:rFonts w:ascii="等线(中文正文)" w:hAnsi="等线(中文正文)" w:cs="等线(中文正文)" w:eastAsia="等线(中文正文)"/>
          <w:b w:val="false"/>
          <w:i w:val="false"/>
          <w:sz w:val="20"/>
        </w:rPr>
        <w:t>行业经过出清，竞争格局已趋于稳定，头部企业将因马太效应加速市场份额提升，防水行业集中度提升尤为显著。</w:t>
      </w:r>
    </w:p>
    <w:p>
      <w:r>
        <w:rPr>
          <w:rFonts w:ascii="等线(中文正文)" w:hAnsi="等线(中文正文)" w:cs="等线(中文正文)" w:eastAsia="等线(中文正文)"/>
          <w:b w:val="false"/>
          <w:i w:val="false"/>
          <w:sz w:val="20"/>
        </w:rPr>
        <w:t/>
      </w:r>
    </w:p>
    <w:p>
      <w:pPr>
        <w:pStyle w:val="ab"/>
        <w:numPr>
          <w:numId w:val="20"/>
        </w:numPr>
      </w:pPr>
      <w:r>
        <w:t>01:07:39 梳理多次提价策略与落地情况</w:t>
      </w:r>
    </w:p>
    <w:p>
      <w:r>
        <w:rPr>
          <w:rFonts w:ascii="等线(中文正文)" w:hAnsi="等线(中文正文)" w:cs="等线(中文正文)" w:eastAsia="等线(中文正文)"/>
          <w:b w:val="false"/>
          <w:i w:val="false"/>
          <w:sz w:val="20"/>
        </w:rPr>
        <w:t>对话详细梳理了自3月起的多轮提价过程，包括3月15日后SPS3毫米厚卷材价格由14元/平米涨至15元/平米，以及4月1日后价格进一步调整至16元/平米。强调了价格调整依据下单时间，且已全面落地。同时，预告未来价格可能继续上调，旨在让客户提前做好心理预期。</w:t>
      </w:r>
    </w:p>
    <w:p>
      <w:r>
        <w:rPr>
          <w:rFonts w:ascii="等线(中文正文)" w:hAnsi="等线(中文正文)" w:cs="等线(中文正文)" w:eastAsia="等线(中文正文)"/>
          <w:b w:val="false"/>
          <w:i w:val="false"/>
          <w:sz w:val="20"/>
        </w:rPr>
        <w:t/>
      </w:r>
    </w:p>
    <w:p>
      <w:pPr>
        <w:pStyle w:val="ab"/>
        <w:numPr>
          <w:numId w:val="21"/>
        </w:numPr>
      </w:pPr>
      <w:r>
        <w:t>01:11:10 公司资产净值分布与减值计提分析</w:t>
      </w:r>
    </w:p>
    <w:p>
      <w:r>
        <w:rPr>
          <w:rFonts w:ascii="等线(中文正文)" w:hAnsi="等线(中文正文)" w:cs="等线(中文正文)" w:eastAsia="等线(中文正文)"/>
          <w:b w:val="false"/>
          <w:i w:val="false"/>
          <w:sz w:val="20"/>
        </w:rPr>
        <w:t>讨论了公司资产原值在各科目中的分布，特别指出应收款项占比约40%，计提金额达14亿，其他应收款规模较小，非流动资产减值比例超过20%，总规模不足20亿。</w:t>
      </w:r>
    </w:p>
    <w:p>
      <w:r>
        <w:rPr>
          <w:rFonts w:ascii="等线(中文正文)" w:hAnsi="等线(中文正文)" w:cs="等线(中文正文)" w:eastAsia="等线(中文正文)"/>
          <w:b w:val="false"/>
          <w:i w:val="false"/>
          <w:sz w:val="20"/>
        </w:rPr>
        <w:t/>
      </w:r>
    </w:p>
    <w:p>
      <w:pPr>
        <w:pStyle w:val="ab"/>
        <w:numPr>
          <w:numId w:val="22"/>
        </w:numPr>
      </w:pPr>
      <w:r>
        <w:t>01:12:38 市场需求未回暖，但结构性机会显现</w:t>
      </w:r>
    </w:p>
    <w:p>
      <w:r>
        <w:rPr>
          <w:rFonts w:ascii="等线(中文正文)" w:hAnsi="等线(中文正文)" w:cs="等线(中文正文)" w:eastAsia="等线(中文正文)"/>
          <w:b w:val="false"/>
          <w:i w:val="false"/>
          <w:sz w:val="20"/>
        </w:rPr>
        <w:t>对话中提到，自四月以来，整体市场需求未见回暖迹象，甚至有变差的趋势。尽管如此，某些结构性机会如重点工程、水利、旧改、城市更新及能源类项目仍存在。值得注意的是，在去年需求环境较差的情况下，主打品牌的销量仍保持良好，这可能与市场份额有关。</w:t>
      </w:r>
    </w:p>
    <w:p>
      <w:r>
        <w:rPr>
          <w:rFonts w:ascii="等线(中文正文)" w:hAnsi="等线(中文正文)" w:cs="等线(中文正文)" w:eastAsia="等线(中文正文)"/>
          <w:b w:val="false"/>
          <w:i w:val="false"/>
          <w:sz w:val="20"/>
        </w:rPr>
        <w:t/>
      </w:r>
    </w:p>
    <w:p>
      <w:pPr>
        <w:pStyle w:val="ab"/>
        <w:numPr>
          <w:numId w:val="23"/>
        </w:numPr>
      </w:pPr>
      <w:r>
        <w:t>01:14:12 海外26年内生增长区域分析</w:t>
      </w:r>
    </w:p>
    <w:p>
      <w:r>
        <w:rPr>
          <w:rFonts w:ascii="等线(中文正文)" w:hAnsi="等线(中文正文)" w:cs="等线(中文正文)" w:eastAsia="等线(中文正文)"/>
          <w:b w:val="false"/>
          <w:i w:val="false"/>
          <w:sz w:val="20"/>
        </w:rPr>
        <w:t>对话主要讨论了海外26年内生增长的主要来源区域，包括美洲和亚太地区。美洲方面，墨西哥通过与Home Décor的合作，产品陆续上架销售；南美则有巴西等地区自有渠道的拓展。亚太地区，如印尼、马来西亚、新加坡、越南、泰国等地增长显著，这些地区是海外拓展最早涉足的区域之一。总体而言，美洲和亚太地区的收入贡献较大。</w:t>
      </w:r>
    </w:p>
    <w:p>
      <w:r>
        <w:rPr>
          <w:rFonts w:ascii="等线(中文正文)" w:hAnsi="等线(中文正文)" w:cs="等线(中文正文)" w:eastAsia="等线(中文正文)"/>
          <w:b w:val="false"/>
          <w:i w:val="false"/>
          <w:sz w:val="20"/>
        </w:rPr>
        <w:t/>
      </w:r>
    </w:p>
    <w:p>
      <w:pPr>
        <w:pStyle w:val="ab"/>
        <w:numPr>
          <w:numId w:val="24"/>
        </w:numPr>
      </w:pPr>
      <w:r>
        <w:t>01:15:45 公司业绩趋势与增长路径展望</w:t>
      </w:r>
    </w:p>
    <w:p>
      <w:r>
        <w:rPr>
          <w:rFonts w:ascii="等线(中文正文)" w:hAnsi="等线(中文正文)" w:cs="等线(中文正文)" w:eastAsia="等线(中文正文)"/>
          <w:b w:val="false"/>
          <w:i w:val="false"/>
          <w:sz w:val="20"/>
        </w:rPr>
        <w:t>对话围绕公司二季度及下半年业绩趋势展开，强调了份额提升、零售渠道下沉、新品类扩张、沙粉新业务发展及海外出海作为实现收入增长目标的关键路径。预计这些策略将确保公司在销量和收入端保持成长性，特别是在国内市场。</w:t>
      </w:r>
    </w:p>
    <w:p>
      <w:r>
        <w:rPr>
          <w:rFonts w:ascii="等线(中文正文)" w:hAnsi="等线(中文正文)" w:cs="等线(中文正文)" w:eastAsia="等线(中文正文)"/>
          <w:b w:val="false"/>
          <w:i w:val="false"/>
          <w:sz w:val="20"/>
        </w:rPr>
        <w:t/>
      </w:r>
    </w:p>
    <w:p>
      <w:pPr>
        <w:pStyle w:val="ab"/>
        <w:numPr>
          <w:numId w:val="25"/>
        </w:numPr>
      </w:pPr>
      <w:r>
        <w:t>01:16:55 东方雨虹转型成效与未来展望</w:t>
      </w:r>
    </w:p>
    <w:p>
      <w:r>
        <w:rPr>
          <w:rFonts w:ascii="等线(中文正文)" w:hAnsi="等线(中文正文)" w:cs="等线(中文正文)" w:eastAsia="等线(中文正文)"/>
          <w:b w:val="false"/>
          <w:i w:val="false"/>
          <w:sz w:val="20"/>
        </w:rPr>
        <w:t>东方雨虹经过22年至25年的结构调整，从依赖地产大客户转向零售端、小B端、非房工程及海外市场，实现业务转型。未来，东方雨虹将通过市场份额提升、新品类发展和海外扩张支撑收入与利润增长，展现出建材行业内的阿尔法潜力。</w:t>
      </w:r>
    </w:p>
    <w:p>
      <w:r>
        <w:rPr>
          <w:rFonts w:ascii="等线(中文正文)" w:hAnsi="等线(中文正文)" w:cs="等线(中文正文)" w:eastAsia="等线(中文正文)"/>
          <w:b w:val="false"/>
          <w:i w:val="false"/>
          <w:sz w:val="20"/>
        </w:rPr>
        <w:t/>
      </w:r>
    </w:p>
    <w:p>
      <w:pPr>
        <w:pStyle w:val="a7"/>
      </w:pPr>
      <w:r>
        <w:t>发言总结</w:t>
      </w:r>
    </w:p>
    <w:p>
      <w:pPr>
        <w:pStyle w:val="ab"/>
        <w:numPr>
          <w:numId w:val="26"/>
        </w:numPr>
      </w:pPr>
      <w:r>
        <w:t>发言人1</w:t>
      </w:r>
    </w:p>
    <w:p>
      <w:r>
        <w:rPr>
          <w:rFonts w:ascii="等线(中文正文)" w:hAnsi="等线(中文正文)" w:cs="等线(中文正文)" w:eastAsia="等线(中文正文)"/>
          <w:b w:val="false"/>
          <w:i w:val="false"/>
          <w:sz w:val="20"/>
        </w:rPr>
        <w:t>他着重强调了公司决策对公司未来毛利率的重要性，尽管短期内因现金支付沥青储备可能导致经营现金流净额受一定影响，但长期看一季度表现尚可。他还详细讨论了资产减值和信用减值的预期规模、原材料占比、价格上涨幅度、行业竞争格局以及未来几年的展望，特别提到东方雨虹在建材行业的阿尔法机会，呼吁投资者关注公司发展。此外，他概述了公司一季度业绩，包括整体收益15.5%的增长，零售渠道的高增长及其对收入和毛利率的贡献，以及通过海外布局和产品线拓展寻求新的增长点，进一步强化在防水和消费建材领域的领先地位。最后，他还提到公司成功收购了智利公司及香港万昌公司，提升了零售渠道的收入至五亿元，预计全年收入创历史新高，同时强调了费用率的优化和期间费用率的下降，以及公司在战略、研发、销售等方面的持续努力以应对市场变化，提升公司竞争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问：公司一季度的收入同比增长了20%以上，达到了70亿，如果按照这个趋势发展，对于今年全年的收入展望是什么？</w:t>
      </w:r>
    </w:p>
    <w:p>
      <w:r>
        <w:rPr>
          <w:rFonts w:ascii="等线(中文正文)" w:hAnsi="等线(中文正文)" w:cs="等线(中文正文)" w:eastAsia="等线(中文正文)"/>
          <w:b w:val="false"/>
          <w:i w:val="false"/>
          <w:sz w:val="20"/>
        </w:rPr>
        <w:t>发言人1 答：根据当前趋势，我们有较大的可能性创造历史最高的收入水平。尽管下游地产行业的新开工和施工量有所下滑，但雨虹的收入依然保持强劲增长，这主要得益于我们的市场份额加速提升和业务结构优化。对于未来三年，由于行业整合加速和头部企业的市场份额持续增长，我们对收入展望持乐观态度，并且计划在去年基础上进一步提高销量和收入水平。</w:t>
      </w:r>
    </w:p>
    <w:p>
      <w:r>
        <w:rPr>
          <w:rFonts w:ascii="等线(中文正文)" w:hAnsi="等线(中文正文)" w:cs="等线(中文正文)" w:eastAsia="等线(中文正文)"/>
          <w:b w:val="false"/>
          <w:i w:val="false"/>
          <w:sz w:val="20"/>
        </w:rPr>
        <w:t/>
      </w:r>
    </w:p>
    <w:p>
      <w:pPr>
        <w:pStyle w:val="ab"/>
      </w:pPr>
      <w:r>
        <w:t>发言人1 问：雨虹一季度利润率取得显著提升，能否解读一下这个行业背后发生了什么？以及雨虹对未来盈利能力有何展望？</w:t>
      </w:r>
    </w:p>
    <w:p>
      <w:r>
        <w:rPr>
          <w:rFonts w:ascii="等线(中文正文)" w:hAnsi="等线(中文正文)" w:cs="等线(中文正文)" w:eastAsia="等线(中文正文)"/>
          <w:b w:val="false"/>
          <w:i w:val="false"/>
          <w:sz w:val="20"/>
        </w:rPr>
        <w:t>发言人1 答：今年一季度，雨虹受益于行业提价及高毛利零售渠道占比提升，导致利润率同比明显增长。目前，我们拥有沥青库优势，进一步巩固了行业地位。对于未来，随着行业格局优化和头部企业市场份额的不断扩大，我们预计雨虹将维持一个更为稳健且盈利能力较强的状况。</w:t>
      </w:r>
    </w:p>
    <w:p>
      <w:r>
        <w:rPr>
          <w:rFonts w:ascii="等线(中文正文)" w:hAnsi="等线(中文正文)" w:cs="等线(中文正文)" w:eastAsia="等线(中文正文)"/>
          <w:b w:val="false"/>
          <w:i w:val="false"/>
          <w:sz w:val="20"/>
        </w:rPr>
        <w:t/>
      </w:r>
    </w:p>
    <w:p>
      <w:pPr>
        <w:pStyle w:val="ab"/>
      </w:pPr>
      <w:r>
        <w:t>发言人1 问：关于收入端，雨虹是如何实现单月及季度的历史新高的？以及卷材销量的具体情况如何？</w:t>
      </w:r>
    </w:p>
    <w:p>
      <w:r>
        <w:rPr>
          <w:rFonts w:ascii="等线(中文正文)" w:hAnsi="等线(中文正文)" w:cs="等线(中文正文)" w:eastAsia="等线(中文正文)"/>
          <w:b w:val="false"/>
          <w:i w:val="false"/>
          <w:sz w:val="20"/>
        </w:rPr>
        <w:t>发言人1 答：今年三月份，雨虹卷材销量创下了单月历史最高纪录，达到约1.2亿平米，并且一季度整体卷材销量也超过了两个多亿平米，展现出强劲的增长势头。今年的目标是希望在去年8亿平米的基础上，继续提升并争取突破10亿平米。同时，由于价格止跌并不断尝试上调，收入端的表现也可能优于销量增长，目前收入预算为300亿，且年初以来市场环境向好，我们对完成这一预算目标充满信心。</w:t>
      </w:r>
    </w:p>
    <w:p>
      <w:r>
        <w:rPr>
          <w:rFonts w:ascii="等线(中文正文)" w:hAnsi="等线(中文正文)" w:cs="等线(中文正文)" w:eastAsia="等线(中文正文)"/>
          <w:b w:val="false"/>
          <w:i w:val="false"/>
          <w:sz w:val="20"/>
        </w:rPr>
        <w:t/>
      </w:r>
    </w:p>
    <w:p>
      <w:pPr>
        <w:pStyle w:val="ab"/>
      </w:pPr>
      <w:r>
        <w:t>发言人1 问：增长动力主要来自哪些方面？</w:t>
      </w:r>
    </w:p>
    <w:p>
      <w:r>
        <w:rPr>
          <w:rFonts w:ascii="等线(中文正文)" w:hAnsi="等线(中文正文)" w:cs="等线(中文正文)" w:eastAsia="等线(中文正文)"/>
          <w:b w:val="false"/>
          <w:i w:val="false"/>
          <w:sz w:val="20"/>
        </w:rPr>
        <w:t>发言人1 答：增长动力的核心来源在于整个行业格局的变化。经过周期性调整，供给端加速出清，头部企业的马太效应显著增强。雨虹在最近几年市场份额以前所未有的速度快速提升，即使在行业需求未明显复苏的情况下，我们的销量依然保持优于行业的表现，这是作为龙头企业在行业整合中优势和结果的体现。</w:t>
      </w:r>
    </w:p>
    <w:p>
      <w:r>
        <w:rPr>
          <w:rFonts w:ascii="等线(中文正文)" w:hAnsi="等线(中文正文)" w:cs="等线(中文正文)" w:eastAsia="等线(中文正文)"/>
          <w:b w:val="false"/>
          <w:i w:val="false"/>
          <w:sz w:val="20"/>
        </w:rPr>
        <w:t/>
      </w:r>
    </w:p>
    <w:p>
      <w:pPr>
        <w:pStyle w:val="ab"/>
      </w:pPr>
      <w:r>
        <w:t>发言人1 问：东方雨虹收入增长的主要动力有哪些？</w:t>
      </w:r>
    </w:p>
    <w:p>
      <w:r>
        <w:rPr>
          <w:rFonts w:ascii="等线(中文正文)" w:hAnsi="等线(中文正文)" w:cs="等线(中文正文)" w:eastAsia="等线(中文正文)"/>
          <w:b w:val="false"/>
          <w:i w:val="false"/>
          <w:sz w:val="20"/>
        </w:rPr>
        <w:t>发言人1 答：收入增长的主要动力之一是国内市场份额的快速提升，尤其是主打产品的市场份额增长。第二个动力来自于海外业务的发展，公司在海外积极布局供应链体系，如在马来西亚、巴西和美国德州等地建立工厂，并通过并购香港万昌、智利公司、巴西最大的外加剂减水剂公司以及香港毛牌等，以拓展和立足于海外市场。</w:t>
      </w:r>
    </w:p>
    <w:p>
      <w:r>
        <w:rPr>
          <w:rFonts w:ascii="等线(中文正文)" w:hAnsi="等线(中文正文)" w:cs="等线(中文正文)" w:eastAsia="等线(中文正文)"/>
          <w:b w:val="false"/>
          <w:i w:val="false"/>
          <w:sz w:val="20"/>
        </w:rPr>
        <w:t/>
      </w:r>
    </w:p>
    <w:p>
      <w:pPr>
        <w:pStyle w:val="ab"/>
      </w:pPr>
      <w:r>
        <w:t>发言人1 问：海外业务的具体布局和进展如何？</w:t>
      </w:r>
    </w:p>
    <w:p>
      <w:r>
        <w:rPr>
          <w:rFonts w:ascii="等线(中文正文)" w:hAnsi="等线(中文正文)" w:cs="等线(中文正文)" w:eastAsia="等线(中文正文)"/>
          <w:b w:val="false"/>
          <w:i w:val="false"/>
          <w:sz w:val="20"/>
        </w:rPr>
        <w:t>发言人1 答：我们在海外通过建设供应链体系和渠道合作实现业务布局，比如建立了多个海外工厂，并与重要渠道商合作。去年海外收入达到了约16亿规模，相比2024年的8个多亿实现了接近翻倍的增长。尽管去年海外投入较大导致亏损，但今年一季度已实现扭亏为盈，开始盈利，收入规模达到9.8亿，增长了两倍，其中并购标的贡献了5.2亿，剩余增长则来自自营渠道的拓展。</w:t>
      </w:r>
    </w:p>
    <w:p>
      <w:r>
        <w:rPr>
          <w:rFonts w:ascii="等线(中文正文)" w:hAnsi="等线(中文正文)" w:cs="等线(中文正文)" w:eastAsia="等线(中文正文)"/>
          <w:b w:val="false"/>
          <w:i w:val="false"/>
          <w:sz w:val="20"/>
        </w:rPr>
        <w:t/>
      </w:r>
    </w:p>
    <w:p>
      <w:pPr>
        <w:pStyle w:val="ab"/>
      </w:pPr>
      <w:r>
        <w:t>发言人1 问：对于海外业务未来的展望是什么？</w:t>
      </w:r>
    </w:p>
    <w:p>
      <w:r>
        <w:rPr>
          <w:rFonts w:ascii="等线(中文正文)" w:hAnsi="等线(中文正文)" w:cs="等线(中文正文)" w:eastAsia="等线(中文正文)"/>
          <w:b w:val="false"/>
          <w:i w:val="false"/>
          <w:sz w:val="20"/>
        </w:rPr>
        <w:t>发言人1 答：今年海外业务目标突破45亿收入规模，并寻求较好的利润水平。从中长期看，海外业务不仅是收入的重要来源，更是利润增长的关键途径，因为随着收入规模扩大，费用率得到有效管控，将具有较大的利润空间。</w:t>
      </w:r>
    </w:p>
    <w:p>
      <w:r>
        <w:rPr>
          <w:rFonts w:ascii="等线(中文正文)" w:hAnsi="等线(中文正文)" w:cs="等线(中文正文)" w:eastAsia="等线(中文正文)"/>
          <w:b w:val="false"/>
          <w:i w:val="false"/>
          <w:sz w:val="20"/>
        </w:rPr>
        <w:t/>
      </w:r>
    </w:p>
    <w:p>
      <w:pPr>
        <w:pStyle w:val="ab"/>
      </w:pPr>
      <w:r>
        <w:t>发言人1 问：新品类扩张如何为公司带来增长动力？</w:t>
      </w:r>
    </w:p>
    <w:p>
      <w:r>
        <w:rPr>
          <w:rFonts w:ascii="等线(中文正文)" w:hAnsi="等线(中文正文)" w:cs="等线(中文正文)" w:eastAsia="等线(中文正文)"/>
          <w:b w:val="false"/>
          <w:i w:val="false"/>
          <w:sz w:val="20"/>
        </w:rPr>
        <w:t>发言人1 答：新品类扩张中，沙粉已成为公司重要主业，去年销量突破1200万吨，今年目标是突破2000万吨。新品类如工业品（钙基粉体等）的拓展不仅丰富了公司的产品结构，打开了新的市场空间，还提高了毛利率水平，有望成为公司未来收入和利润增长的重要来源。</w:t>
      </w:r>
    </w:p>
    <w:p>
      <w:r>
        <w:rPr>
          <w:rFonts w:ascii="等线(中文正文)" w:hAnsi="等线(中文正文)" w:cs="等线(中文正文)" w:eastAsia="等线(中文正文)"/>
          <w:b w:val="false"/>
          <w:i w:val="false"/>
          <w:sz w:val="20"/>
        </w:rPr>
        <w:t/>
      </w:r>
    </w:p>
    <w:p>
      <w:pPr>
        <w:pStyle w:val="ab"/>
      </w:pPr>
      <w:r>
        <w:t>发言人1 问：零售渠道的发展策略是什么？</w:t>
      </w:r>
    </w:p>
    <w:p>
      <w:r>
        <w:rPr>
          <w:rFonts w:ascii="等线(中文正文)" w:hAnsi="等线(中文正文)" w:cs="等线(中文正文)" w:eastAsia="等线(中文正文)"/>
          <w:b w:val="false"/>
          <w:i w:val="false"/>
          <w:sz w:val="20"/>
        </w:rPr>
        <w:t>发言人1 答：零售渠道的增长模式主要依靠品类扩张和渠道下沉。过去关注高线城市，现在重点挖掘下沉市场，如百强县、千强镇等，这些地区自建房修建、翻新改造等需求巨大，为公司提供了商业机会。通过品类扩张（例如卷材维修品类）和渠道下沉，东方雨虹在零售领域的市场份额和收入有望进一步提升。</w:t>
      </w:r>
    </w:p>
    <w:p>
      <w:r>
        <w:rPr>
          <w:rFonts w:ascii="等线(中文正文)" w:hAnsi="等线(中文正文)" w:cs="等线(中文正文)" w:eastAsia="等线(中文正文)"/>
          <w:b w:val="false"/>
          <w:i w:val="false"/>
          <w:sz w:val="20"/>
        </w:rPr>
        <w:t/>
      </w:r>
    </w:p>
    <w:p>
      <w:pPr>
        <w:pStyle w:val="ab"/>
      </w:pPr>
      <w:r>
        <w:t>发言人1 问：那么要每个县城突破1000万产值，这背后意味着什么？</w:t>
      </w:r>
    </w:p>
    <w:p>
      <w:r>
        <w:rPr>
          <w:rFonts w:ascii="等线(中文正文)" w:hAnsi="等线(中文正文)" w:cs="等线(中文正文)" w:eastAsia="等线(中文正文)"/>
          <w:b w:val="false"/>
          <w:i w:val="false"/>
          <w:sz w:val="20"/>
        </w:rPr>
        <w:t>发言人1 答：这意味着500个县城将共同贡献50亿的产值，这是我们3515计划的一部分。目前还未涉及其他下沉市场，仅这500个县城就有望在未来三年内每年贡献50亿的规模。</w:t>
      </w:r>
    </w:p>
    <w:p>
      <w:r>
        <w:rPr>
          <w:rFonts w:ascii="等线(中文正文)" w:hAnsi="等线(中文正文)" w:cs="等线(中文正文)" w:eastAsia="等线(中文正文)"/>
          <w:b w:val="false"/>
          <w:i w:val="false"/>
          <w:sz w:val="20"/>
        </w:rPr>
        <w:t/>
      </w:r>
    </w:p>
    <w:p>
      <w:pPr>
        <w:pStyle w:val="ab"/>
      </w:pPr>
      <w:r>
        <w:t>发言人1 问：为什么在当前装修需求不理想的情况下，零售还能保持增长并有信心去增长？</w:t>
      </w:r>
    </w:p>
    <w:p>
      <w:r>
        <w:rPr>
          <w:rFonts w:ascii="等线(中文正文)" w:hAnsi="等线(中文正文)" w:cs="等线(中文正文)" w:eastAsia="等线(中文正文)"/>
          <w:b w:val="false"/>
          <w:i w:val="false"/>
          <w:sz w:val="20"/>
        </w:rPr>
        <w:t>发言人1 答：增长逻辑主要来自两个方面：一是品类的扩张，二是通过像“15计划”这样的策略对下沉市场的突破和布局。</w:t>
      </w:r>
    </w:p>
    <w:p>
      <w:r>
        <w:rPr>
          <w:rFonts w:ascii="等线(中文正文)" w:hAnsi="等线(中文正文)" w:cs="等线(中文正文)" w:eastAsia="等线(中文正文)"/>
          <w:b w:val="false"/>
          <w:i w:val="false"/>
          <w:sz w:val="20"/>
        </w:rPr>
        <w:t/>
      </w:r>
    </w:p>
    <w:p>
      <w:pPr>
        <w:pStyle w:val="ab"/>
      </w:pPr>
      <w:r>
        <w:t>发言人1 问：从利润端来看，如何实现毛利率的提升？</w:t>
      </w:r>
    </w:p>
    <w:p>
      <w:r>
        <w:rPr>
          <w:rFonts w:ascii="等线(中文正文)" w:hAnsi="等线(中文正文)" w:cs="等线(中文正文)" w:eastAsia="等线(中文正文)"/>
          <w:b w:val="false"/>
          <w:i w:val="false"/>
          <w:sz w:val="20"/>
        </w:rPr>
        <w:t>发言人1 答：毛利率提升一方面得益于高附加值板块的并购和零售业务的发展，导致零售渠道占比显著提升；另一方面，公司在去年年底至春节期间抓住了一些大宗材料的良好交易机会，为公司创造了成本或利润上的机会。</w:t>
      </w:r>
    </w:p>
    <w:p>
      <w:r>
        <w:rPr>
          <w:rFonts w:ascii="等线(中文正文)" w:hAnsi="等线(中文正文)" w:cs="等线(中文正文)" w:eastAsia="等线(中文正文)"/>
          <w:b w:val="false"/>
          <w:i w:val="false"/>
          <w:sz w:val="20"/>
        </w:rPr>
        <w:t/>
      </w:r>
    </w:p>
    <w:p>
      <w:pPr>
        <w:pStyle w:val="ab"/>
      </w:pPr>
      <w:r>
        <w:t>发言人1 问：面对原材料价格波动，尤其是沥青等大宗材料价格上涨，公司如何应对？</w:t>
      </w:r>
    </w:p>
    <w:p>
      <w:r>
        <w:rPr>
          <w:rFonts w:ascii="等线(中文正文)" w:hAnsi="等线(中文正文)" w:cs="等线(中文正文)" w:eastAsia="等线(中文正文)"/>
          <w:b w:val="false"/>
          <w:i w:val="false"/>
          <w:sz w:val="20"/>
        </w:rPr>
        <w:t>发言人1 答：公司观察到行业竞争格局发生变化，头部企业市场份额增加，竞争更加激烈。尽管去年下半年价格战严重，但随着行业价格止跌和头部企业逐渐达成涨价共识，市场价格有所恢复。原材料价格上涨加速了头部企业之间建立市场协商机制的步伐，通过产品价格调整和内部降本措施，公司有信心缓解原材料成本压力。</w:t>
      </w:r>
    </w:p>
    <w:p>
      <w:r>
        <w:rPr>
          <w:rFonts w:ascii="等线(中文正文)" w:hAnsi="等线(中文正文)" w:cs="等线(中文正文)" w:eastAsia="等线(中文正文)"/>
          <w:b w:val="false"/>
          <w:i w:val="false"/>
          <w:sz w:val="20"/>
        </w:rPr>
        <w:t/>
      </w:r>
    </w:p>
    <w:p>
      <w:pPr>
        <w:pStyle w:val="ab"/>
      </w:pPr>
      <w:r>
        <w:t>发言人1 问：关于非标市场的份额竞争策略以及海外工厂投产进度如何？</w:t>
      </w:r>
    </w:p>
    <w:p>
      <w:r>
        <w:rPr>
          <w:rFonts w:ascii="等线(中文正文)" w:hAnsi="等线(中文正文)" w:cs="等线(中文正文)" w:eastAsia="等线(中文正文)"/>
          <w:b w:val="false"/>
          <w:i w:val="false"/>
          <w:sz w:val="20"/>
        </w:rPr>
        <w:t>发言人1 答：对于非标市场的份额竞争策略，公司正在考虑租用小品牌或原上市公司闲置产能。至于海外工厂投产进度，美国工厂预计9月份投产，而越南、泰国和巴西等工厂的建设也在进行中，预计今年陆续投产。矿山方面，吉安、南宁等地的矿山项目预计下半年全面投产。</w:t>
      </w:r>
    </w:p>
    <w:p>
      <w:r>
        <w:rPr>
          <w:rFonts w:ascii="等线(中文正文)" w:hAnsi="等线(中文正文)" w:cs="等线(中文正文)" w:eastAsia="等线(中文正文)"/>
          <w:b w:val="false"/>
          <w:i w:val="false"/>
          <w:sz w:val="20"/>
        </w:rPr>
        <w:t/>
      </w:r>
    </w:p>
    <w:p>
      <w:pPr>
        <w:pStyle w:val="ab"/>
      </w:pPr>
      <w:r>
        <w:t>发言人1 问：公司25年末采购了多少个月的沥青库存，目前消耗情况如何？</w:t>
      </w:r>
    </w:p>
    <w:p>
      <w:r>
        <w:rPr>
          <w:rFonts w:ascii="等线(中文正文)" w:hAnsi="等线(中文正文)" w:cs="等线(中文正文)" w:eastAsia="等线(中文正文)"/>
          <w:b w:val="false"/>
          <w:i w:val="false"/>
          <w:sz w:val="20"/>
        </w:rPr>
        <w:t>发言人1 答：我们在去年年底及今年一季度，包括春节期间和三月份，在不同价位抓住机遇进行了采购。目前的沥青库存应该可以使用到5月底或6月初的水平。</w:t>
      </w:r>
    </w:p>
    <w:p>
      <w:r>
        <w:rPr>
          <w:rFonts w:ascii="等线(中文正文)" w:hAnsi="等线(中文正文)" w:cs="等线(中文正文)" w:eastAsia="等线(中文正文)"/>
          <w:b w:val="false"/>
          <w:i w:val="false"/>
          <w:sz w:val="20"/>
        </w:rPr>
        <w:t/>
      </w:r>
    </w:p>
    <w:p>
      <w:pPr>
        <w:pStyle w:val="ab"/>
      </w:pPr>
      <w:r>
        <w:t>发言人1 问：公司一季度海外公司并表贡献多少亿收入，以及全年海外业务收入预期如何？</w:t>
      </w:r>
    </w:p>
    <w:p>
      <w:r>
        <w:rPr>
          <w:rFonts w:ascii="等线(中文正文)" w:hAnsi="等线(中文正文)" w:cs="等线(中文正文)" w:eastAsia="等线(中文正文)"/>
          <w:b w:val="false"/>
          <w:i w:val="false"/>
          <w:sz w:val="20"/>
        </w:rPr>
        <w:t>发言人1 答：今年一季度海外并表收入主要来自智力公司和香港公司，但费用率较高，净利率不占优势。巴西公司只完成了部分交割，所以一季度并表收入约5.2亿左右，整体海外收入为9.8亿。全年预计实现45亿海外收入，并有望扭亏为盈。</w:t>
      </w:r>
    </w:p>
    <w:p>
      <w:r>
        <w:rPr>
          <w:rFonts w:ascii="等线(中文正文)" w:hAnsi="等线(中文正文)" w:cs="等线(中文正文)" w:eastAsia="等线(中文正文)"/>
          <w:b w:val="false"/>
          <w:i w:val="false"/>
          <w:sz w:val="20"/>
        </w:rPr>
        <w:t/>
      </w:r>
    </w:p>
    <w:p>
      <w:pPr>
        <w:pStyle w:val="ab"/>
      </w:pPr>
      <w:r>
        <w:t>发言人1 问：公司目前供给方存量规模是多少，以及今年的处置计划和预计的减值规模？</w:t>
      </w:r>
    </w:p>
    <w:p>
      <w:r>
        <w:rPr>
          <w:rFonts w:ascii="等线(中文正文)" w:hAnsi="等线(中文正文)" w:cs="等线(中文正文)" w:eastAsia="等线(中文正文)"/>
          <w:b w:val="false"/>
          <w:i w:val="false"/>
          <w:sz w:val="20"/>
        </w:rPr>
        <w:t>发言人1 答：目前供给方存量按原值计算有五十来亿规模，其中应收账款约二十多亿，其他应收款很少，另外还有二十来亿在其他非流动项目中。去年计提减值约15个亿，加上债务重组损失约1个亿，总共约17个亿的损失。今年的具体减值规模还难以确定，但预计高峰已经过去，处置剩余部分会有剩余消化，总体较为充分。</w:t>
      </w:r>
    </w:p>
    <w:p>
      <w:r>
        <w:rPr>
          <w:rFonts w:ascii="等线(中文正文)" w:hAnsi="等线(中文正文)" w:cs="等线(中文正文)" w:eastAsia="等线(中文正文)"/>
          <w:b w:val="false"/>
          <w:i w:val="false"/>
          <w:sz w:val="20"/>
        </w:rPr>
        <w:t/>
      </w:r>
    </w:p>
    <w:p>
      <w:pPr>
        <w:pStyle w:val="ab"/>
      </w:pPr>
      <w:r>
        <w:t>发言人1 问：全年的海外业务营收展望如何？</w:t>
      </w:r>
    </w:p>
    <w:p>
      <w:r>
        <w:rPr>
          <w:rFonts w:ascii="等线(中文正文)" w:hAnsi="等线(中文正文)" w:cs="等线(中文正文)" w:eastAsia="等线(中文正文)"/>
          <w:b w:val="false"/>
          <w:i w:val="false"/>
          <w:sz w:val="20"/>
        </w:rPr>
        <w:t>发言人1 答：全年海外业务目标是实现45亿收入规模，通过贸易、投资、并购等方式实现预算目标，并预计海外业务能开始扭亏并贡献利润，但利润率可能不会很高。随着收入规模增长，毛利率和净利率会有更快的提升，未来有望看到更多利润贡献。</w:t>
      </w:r>
    </w:p>
    <w:p>
      <w:r>
        <w:rPr>
          <w:rFonts w:ascii="等线(中文正文)" w:hAnsi="等线(中文正文)" w:cs="等线(中文正文)" w:eastAsia="等线(中文正文)"/>
          <w:b w:val="false"/>
          <w:i w:val="false"/>
          <w:sz w:val="20"/>
        </w:rPr>
        <w:t/>
      </w:r>
    </w:p>
    <w:p>
      <w:pPr>
        <w:pStyle w:val="ab"/>
      </w:pPr>
      <w:r>
        <w:t>发言人1 问：公司如何展望未来防水材料毛利率水平？</w:t>
      </w:r>
    </w:p>
    <w:p>
      <w:r>
        <w:rPr>
          <w:rFonts w:ascii="等线(中文正文)" w:hAnsi="等线(中文正文)" w:cs="等线(中文正文)" w:eastAsia="等线(中文正文)"/>
          <w:b w:val="false"/>
          <w:i w:val="false"/>
          <w:sz w:val="20"/>
        </w:rPr>
        <w:t>发言人1 答：毛利率下降受会计准则调整（运费计入营业成本而非销售费用）、大宗材料价格上升、行业价格战等因素影响。不过，去年下半年以来，行业价格战局面结束，头部企业开始联合，市场价格趋于稳定，这对综合毛利率水平和企业毛利率逐步恢复有利。</w:t>
      </w:r>
    </w:p>
    <w:p>
      <w:r>
        <w:rPr>
          <w:rFonts w:ascii="等线(中文正文)" w:hAnsi="等线(中文正文)" w:cs="等线(中文正文)" w:eastAsia="等线(中文正文)"/>
          <w:b w:val="false"/>
          <w:i w:val="false"/>
          <w:sz w:val="20"/>
        </w:rPr>
        <w:t/>
      </w:r>
    </w:p>
    <w:p>
      <w:pPr>
        <w:pStyle w:val="ab"/>
      </w:pPr>
      <w:r>
        <w:t>发言人1 问：总体来说，按照现在的经济环境，国内的投入状况是怎样的？</w:t>
      </w:r>
    </w:p>
    <w:p>
      <w:r>
        <w:rPr>
          <w:rFonts w:ascii="等线(中文正文)" w:hAnsi="等线(中文正文)" w:cs="等线(中文正文)" w:eastAsia="等线(中文正文)"/>
          <w:b w:val="false"/>
          <w:i w:val="false"/>
          <w:sz w:val="20"/>
        </w:rPr>
        <w:t>发言人1 答：目前国内在维护上不需要太多投入，新增投资主要集中在购买矿产上。但由于新的矿产法规定分期支付，每年的实际投入规模在千万级别，所以整体投入并不大。现在投资方向主要是在海外，计划投资建厂、并购等。</w:t>
      </w:r>
    </w:p>
    <w:p>
      <w:r>
        <w:rPr>
          <w:rFonts w:ascii="等线(中文正文)" w:hAnsi="等线(中文正文)" w:cs="等线(中文正文)" w:eastAsia="等线(中文正文)"/>
          <w:b w:val="false"/>
          <w:i w:val="false"/>
          <w:sz w:val="20"/>
        </w:rPr>
        <w:t/>
      </w:r>
    </w:p>
    <w:p>
      <w:pPr>
        <w:pStyle w:val="ab"/>
      </w:pPr>
      <w:r>
        <w:t>发言人1 问：对于智力CMT项目，24年净利率大概是2%，25年及26Q1治理后的净利率达到了什么水平？以及26年全年展望如何？</w:t>
      </w:r>
    </w:p>
    <w:p>
      <w:r>
        <w:rPr>
          <w:rFonts w:ascii="等线(中文正文)" w:hAnsi="等线(中文正文)" w:cs="等线(中文正文)" w:eastAsia="等线(中文正文)"/>
          <w:b w:val="false"/>
          <w:i w:val="false"/>
          <w:sz w:val="20"/>
        </w:rPr>
        <w:t>发言人1 答：26年Q1，智力CMT项目的净利率持续在2点左右，但预计全年可能还是保持在两个点左右。目前预算中，由于供应链、人工和租金等因素较为固定，通过海外供应链贸易和收入规模提升利润率需要时间，尤其是产品引进与认证过程较长。未来几年，随着供应链的完善和赋能，预计净利率会有提升空间，但短期内可能仅能看到一些微小提升。</w:t>
      </w:r>
    </w:p>
    <w:p>
      <w:r>
        <w:rPr>
          <w:rFonts w:ascii="等线(中文正文)" w:hAnsi="等线(中文正文)" w:cs="等线(中文正文)" w:eastAsia="等线(中文正文)"/>
          <w:b w:val="false"/>
          <w:i w:val="false"/>
          <w:sz w:val="20"/>
        </w:rPr>
        <w:t/>
      </w:r>
    </w:p>
    <w:p>
      <w:pPr>
        <w:pStyle w:val="ab"/>
      </w:pPr>
      <w:r>
        <w:t>发言人1 问：公司在砂浆粉料方面，为什么发货量高速增长，但过去三年收入端变化不大？</w:t>
      </w:r>
    </w:p>
    <w:p>
      <w:r>
        <w:rPr>
          <w:rFonts w:ascii="等线(中文正文)" w:hAnsi="等线(中文正文)" w:cs="等线(中文正文)" w:eastAsia="等线(中文正文)"/>
          <w:b w:val="false"/>
          <w:i w:val="false"/>
          <w:sz w:val="20"/>
        </w:rPr>
        <w:t>发言人1 答：收入端变化不大的原因主要是产品结构复杂多样，包括特种砂浆、普通砂浆等多种类别，不同产品的吨单价差异较大。此外，公司采取了全产业链布局战略，涉及多种应用场景，导致收入规模与发货量之间不完全匹配。同时，公司还通过贸易方式销售部分产品，采用净额法计算收入，进一步造成了收入增长与发货量增长的差异。随着产能布局的完善，这些问题将得到改善。</w:t>
      </w:r>
    </w:p>
    <w:p>
      <w:r>
        <w:rPr>
          <w:rFonts w:ascii="等线(中文正文)" w:hAnsi="等线(中文正文)" w:cs="等线(中文正文)" w:eastAsia="等线(中文正文)"/>
          <w:b w:val="false"/>
          <w:i w:val="false"/>
          <w:sz w:val="20"/>
        </w:rPr>
        <w:t/>
      </w:r>
    </w:p>
    <w:p>
      <w:pPr>
        <w:pStyle w:val="ab"/>
      </w:pPr>
      <w:r>
        <w:t>发言人1 问：公司2026年一季度经营活动现金流净额不好是什么原因？以及公司对二季和下半年业绩趋势如何展望？</w:t>
      </w:r>
    </w:p>
    <w:p>
      <w:r>
        <w:rPr>
          <w:rFonts w:ascii="等线(中文正文)" w:hAnsi="等线(中文正文)" w:cs="等线(中文正文)" w:eastAsia="等线(中文正文)"/>
          <w:b w:val="false"/>
          <w:i w:val="false"/>
          <w:sz w:val="20"/>
        </w:rPr>
        <w:t>发言人1 答：一季度经营活动现金流净额为负9亿，看似不好但实际上表现不错，超过了预期。这是因为在去年未进行冬储的情况下，今年抓住市场机遇进行了冬储，虽然短期内对现金流产生影响，但从长期看，这一决策彰显了公司在原材料端的判断力和成本控制能力，有利于未来毛利率的提升。</w:t>
      </w:r>
    </w:p>
    <w:p>
      <w:r>
        <w:rPr>
          <w:rFonts w:ascii="等线(中文正文)" w:hAnsi="等线(中文正文)" w:cs="等线(中文正文)" w:eastAsia="等线(中文正文)"/>
          <w:b w:val="false"/>
          <w:i w:val="false"/>
          <w:sz w:val="20"/>
        </w:rPr>
        <w:t/>
      </w:r>
    </w:p>
    <w:p>
      <w:pPr>
        <w:pStyle w:val="ab"/>
      </w:pPr>
      <w:r>
        <w:t>发言人1 问：26年资产减值和信用减值预期的规模大概是多少？</w:t>
      </w:r>
    </w:p>
    <w:p>
      <w:r>
        <w:rPr>
          <w:rFonts w:ascii="等线(中文正文)" w:hAnsi="等线(中文正文)" w:cs="等线(中文正文)" w:eastAsia="等线(中文正文)"/>
          <w:b w:val="false"/>
          <w:i w:val="false"/>
          <w:sz w:val="20"/>
        </w:rPr>
        <w:t>发言人1 答：虽然无法给出具体数字，但高峰时期已过去，去年的减值规模较高，因此今年的减值预期会有所下降，但仍会有减值发生。目前公司的减值计提是充分的，且已度过高峰。</w:t>
      </w:r>
    </w:p>
    <w:p>
      <w:r>
        <w:rPr>
          <w:rFonts w:ascii="等线(中文正文)" w:hAnsi="等线(中文正文)" w:cs="等线(中文正文)" w:eastAsia="等线(中文正文)"/>
          <w:b w:val="false"/>
          <w:i w:val="false"/>
          <w:sz w:val="20"/>
        </w:rPr>
        <w:t/>
      </w:r>
    </w:p>
    <w:p>
      <w:pPr>
        <w:pStyle w:val="ab"/>
      </w:pPr>
      <w:r>
        <w:t>发言人1 问：公司目前沥青和其他原材料占总成本的比例大概是多少，以及今年以来其他原材料涨价幅度如何？</w:t>
      </w:r>
    </w:p>
    <w:p>
      <w:r>
        <w:rPr>
          <w:rFonts w:ascii="等线(中文正文)" w:hAnsi="等线(中文正文)" w:cs="等线(中文正文)" w:eastAsia="等线(中文正文)"/>
          <w:b w:val="false"/>
          <w:i w:val="false"/>
          <w:sz w:val="20"/>
        </w:rPr>
        <w:t>发言人1 答：沥青在原材料成本中的占比约为30%多。至于其他原材料涨价幅度，以沥青为例，其现货价格从年初的约3000元/吨涨至现在的4400多元/吨，涨幅较大。而在过去几年，公司的综合成本一直保持高位，即使去年年底价格有所下降，之前几年的库存成本也基本在3600元左右。</w:t>
      </w:r>
    </w:p>
    <w:p>
      <w:r>
        <w:rPr>
          <w:rFonts w:ascii="等线(中文正文)" w:hAnsi="等线(中文正文)" w:cs="等线(中文正文)" w:eastAsia="等线(中文正文)"/>
          <w:b w:val="false"/>
          <w:i w:val="false"/>
          <w:sz w:val="20"/>
        </w:rPr>
        <w:t/>
      </w:r>
    </w:p>
    <w:p>
      <w:pPr>
        <w:pStyle w:val="ab"/>
      </w:pPr>
      <w:r>
        <w:t>发言人1 问：可否展望一下未来几年行业的竞争格局？</w:t>
      </w:r>
    </w:p>
    <w:p>
      <w:r>
        <w:rPr>
          <w:rFonts w:ascii="等线(中文正文)" w:hAnsi="等线(中文正文)" w:cs="等线(中文正文)" w:eastAsia="等线(中文正文)"/>
          <w:b w:val="false"/>
          <w:i w:val="false"/>
          <w:sz w:val="20"/>
        </w:rPr>
        <w:t>发言人1 答：从供给端出清的角度看，行业竞争格局已经非常清晰。大部分企业已被淘汰，市场中主要竞争对手数量有限。同时，防水建材行业的集中度提升速度很快，头部企业的市场份额将加速增长。</w:t>
      </w:r>
    </w:p>
    <w:p>
      <w:r>
        <w:rPr>
          <w:rFonts w:ascii="等线(中文正文)" w:hAnsi="等线(中文正文)" w:cs="等线(中文正文)" w:eastAsia="等线(中文正文)"/>
          <w:b w:val="false"/>
          <w:i w:val="false"/>
          <w:sz w:val="20"/>
        </w:rPr>
        <w:t/>
      </w:r>
    </w:p>
    <w:p>
      <w:pPr>
        <w:pStyle w:val="ab"/>
      </w:pPr>
      <w:r>
        <w:t>发言人1 问：能否梳理一下最近几轮提价的实际涨价节奏以及落地情况？</w:t>
      </w:r>
    </w:p>
    <w:p>
      <w:r>
        <w:rPr>
          <w:rFonts w:ascii="等线(中文正文)" w:hAnsi="等线(中文正文)" w:cs="等线(中文正文)" w:eastAsia="等线(中文正文)"/>
          <w:b w:val="false"/>
          <w:i w:val="false"/>
          <w:sz w:val="20"/>
        </w:rPr>
        <w:t>发言人1 答：3月1日公司统一发了第一批涨价函，并在3月15日后开始落地执行。例如，SPS3毫米厚卷材从3月15日至3月31日下单的价格变为15元/平米，之后又在4月1日之后进一步提价至16元/平米。</w:t>
      </w:r>
    </w:p>
    <w:p>
      <w:r>
        <w:rPr>
          <w:rFonts w:ascii="等线(中文正文)" w:hAnsi="等线(中文正文)" w:cs="等线(中文正文)" w:eastAsia="等线(中文正文)"/>
          <w:b w:val="false"/>
          <w:i w:val="false"/>
          <w:sz w:val="20"/>
        </w:rPr>
        <w:t/>
      </w:r>
    </w:p>
    <w:p>
      <w:pPr>
        <w:pStyle w:val="ab"/>
      </w:pPr>
      <w:r>
        <w:t>发言人1 问：净值在各个科目中的分布情况如何？</w:t>
      </w:r>
    </w:p>
    <w:p>
      <w:r>
        <w:rPr>
          <w:rFonts w:ascii="等线(中文正文)" w:hAnsi="等线(中文正文)" w:cs="等线(中文正文)" w:eastAsia="等线(中文正文)"/>
          <w:b w:val="false"/>
          <w:i w:val="false"/>
          <w:sz w:val="20"/>
        </w:rPr>
        <w:t>发言人1 答：目前，公司的净值主要分布在应收款项（计提较多，占比约40%）、非流动资产和其他应收款等科目中，其中应收款项规模较大，计提比例较高。</w:t>
      </w:r>
    </w:p>
    <w:p>
      <w:r>
        <w:rPr>
          <w:rFonts w:ascii="等线(中文正文)" w:hAnsi="等线(中文正文)" w:cs="等线(中文正文)" w:eastAsia="等线(中文正文)"/>
          <w:b w:val="false"/>
          <w:i w:val="false"/>
          <w:sz w:val="20"/>
        </w:rPr>
        <w:t/>
      </w:r>
    </w:p>
    <w:p>
      <w:pPr>
        <w:pStyle w:val="ab"/>
      </w:pPr>
      <w:r>
        <w:t>发言人1 问：四月以来的需求感受如何？</w:t>
      </w:r>
    </w:p>
    <w:p>
      <w:r>
        <w:rPr>
          <w:rFonts w:ascii="等线(中文正文)" w:hAnsi="等线(中文正文)" w:cs="等线(中文正文)" w:eastAsia="等线(中文正文)"/>
          <w:b w:val="false"/>
          <w:i w:val="false"/>
          <w:sz w:val="20"/>
        </w:rPr>
        <w:t>发言人1 答：四月以来，公司没有感受到需求回暖，整体行业需求可能还在变差。但结构性机会依然存在，如重点工程、水利、旧改、城市更新及大工业领域等项目需求较好。</w:t>
      </w:r>
    </w:p>
    <w:p>
      <w:r>
        <w:rPr>
          <w:rFonts w:ascii="等线(中文正文)" w:hAnsi="等线(中文正文)" w:cs="等线(中文正文)" w:eastAsia="等线(中文正文)"/>
          <w:b w:val="false"/>
          <w:i w:val="false"/>
          <w:sz w:val="20"/>
        </w:rPr>
        <w:t/>
      </w:r>
    </w:p>
    <w:p>
      <w:pPr>
        <w:pStyle w:val="ab"/>
      </w:pPr>
      <w:r>
        <w:t>发言人1 问：海外业务2026年的内生增长主要来自哪些区域？</w:t>
      </w:r>
    </w:p>
    <w:p>
      <w:r>
        <w:rPr>
          <w:rFonts w:ascii="等线(中文正文)" w:hAnsi="等线(中文正文)" w:cs="等线(中文正文)" w:eastAsia="等线(中文正文)"/>
          <w:b w:val="false"/>
          <w:i w:val="false"/>
          <w:sz w:val="20"/>
        </w:rPr>
        <w:t>发言人1 答：海外业务的增长主要来自墨西哥、巴西以及亚太地区的印尼、马来西亚、新加坡等地，尤其是亚太区和美洲区贡献较多。</w:t>
      </w:r>
    </w:p>
    <w:p>
      <w:r>
        <w:rPr>
          <w:rFonts w:ascii="等线(中文正文)" w:hAnsi="等线(中文正文)" w:cs="等线(中文正文)" w:eastAsia="等线(中文正文)"/>
          <w:b w:val="false"/>
          <w:i w:val="false"/>
          <w:sz w:val="20"/>
        </w:rPr>
        <w:t/>
      </w:r>
    </w:p>
    <w:p>
      <w:pPr>
        <w:pStyle w:val="ab"/>
      </w:pPr>
      <w:r>
        <w:t>发言人1 问：对二季度和下半年业绩趋势如何展望？</w:t>
      </w:r>
    </w:p>
    <w:p>
      <w:r>
        <w:rPr>
          <w:rFonts w:ascii="等线(中文正文)" w:hAnsi="等线(中文正文)" w:cs="等线(中文正文)" w:eastAsia="等线(中文正文)"/>
          <w:b w:val="false"/>
          <w:i w:val="false"/>
          <w:sz w:val="20"/>
        </w:rPr>
        <w:t>发言人1 答：公司预计全年收入将实现正增长，原因在于市场份额的提升、国内零售渠道下沉、新品类扩张以及海外业务的发展。尽管经历过行业的调整和内部业务结构的变革，但转型已取得初步成效，市场份额和非房业务的增长将支撑未来收入和利润的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2026-04-19T16:20:57Z</dcterms:created>
  <dc:creator>Apache POI</dc:creator>
</cp:coreProperties>
</file>