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听首席说——中信建投期货周度商品策略会（第199期） 260419_导读</w:t>
      </w:r>
    </w:p>
    <w:p>
      <w:pPr>
        <w:pStyle w:val="a0"/>
        <w:jc w:val="center"/>
      </w:pPr>
      <w:r>
        <w:t>2026年04月19日 22:30</w:t>
      </w:r>
    </w:p>
    <w:p>
      <w:pPr>
        <w:pStyle w:val="a7"/>
      </w:pPr>
      <w:r>
        <w:t>关键词</w:t>
      </w:r>
    </w:p>
    <w:p>
      <w:r>
        <w:rPr>
          <w:rFonts w:ascii="等线(中文正文)" w:hAnsi="等线(中文正文)" w:cs="等线(中文正文)" w:eastAsia="等线(中文正文)"/>
          <w:b w:val="false"/>
          <w:i w:val="false"/>
          <w:sz w:val="20"/>
        </w:rPr>
        <w:t xml:space="preserve">冲突降级 地缘事件 需求收缩 资源民族主义 成本上升 贸易路线 美国经济数据 高油价 化肥成本 厄尔尼诺 降水 纯碱玻璃 节后反弹 创新低 走势分化 多晶硅 生猪 政策底 成本底 光伏产品退税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讨论中，分析了商品市场的整体情况，指出冲突降级虽为多头带来机遇，但需警惕需求压力，强调地缘事件对能化商品定价的显著影响。提及资源民族主义政策，如印尼的税收调整，可能引发矿产资源价格波动，进而影响商品定价。针对纯碱和玻璃的行情，尽管短期内走势有别，主要因需求端疲软，尤其是房地产对玻璃价格的影响，但预期两者价格未来将趋同，建议关注价差和政策变化。整体来看，对话聚焦于地缘政治和政策变动对市场的重要作用，以及它们如何影响商品价格走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商品市场分析与地缘事件降级影响</w:t>
      </w:r>
    </w:p>
    <w:p>
      <w:r>
        <w:rPr>
          <w:rFonts w:ascii="等线(中文正文)" w:hAnsi="等线(中文正文)" w:cs="等线(中文正文)" w:eastAsia="等线(中文正文)"/>
          <w:b w:val="false"/>
          <w:i w:val="false"/>
          <w:sz w:val="20"/>
        </w:rPr>
        <w:t>对话围绕商品市场整体分析展开，重点讨论了地缘冲突降级对能化商品的影响。认为冲突降级可能带来需求收缩，影响商品定价。同时，市场当前处于迷茫状态，缺乏新驱动方向，金属商品突破前高的动能不足。讨论了资源民族主义及成本上移带来的机会，并提及底部反转机遇如多晶硅和生猪。</w:t>
      </w:r>
    </w:p>
    <w:p>
      <w:r>
        <w:rPr>
          <w:rFonts w:ascii="等线(中文正文)" w:hAnsi="等线(中文正文)" w:cs="等线(中文正文)" w:eastAsia="等线(中文正文)"/>
          <w:b w:val="false"/>
          <w:i w:val="false"/>
          <w:sz w:val="20"/>
        </w:rPr>
        <w:t/>
      </w:r>
    </w:p>
    <w:p>
      <w:pPr>
        <w:pStyle w:val="ab"/>
        <w:numPr>
          <w:numId w:val="2"/>
        </w:numPr>
      </w:pPr>
      <w:r>
        <w:t>04:25 资源民族主义与全球供应链脆弱性</w:t>
      </w:r>
    </w:p>
    <w:p>
      <w:r>
        <w:rPr>
          <w:rFonts w:ascii="等线(中文正文)" w:hAnsi="等线(中文正文)" w:cs="等线(中文正文)" w:eastAsia="等线(中文正文)"/>
          <w:b w:val="false"/>
          <w:i w:val="false"/>
          <w:sz w:val="20"/>
        </w:rPr>
        <w:t>讨论了资源民族主义政策，如印尼调整矿产税、刚果金建立战略金属储备等，对全球供应链的影响，特别是化肥市场及农产品生产成本的上升，以及可能引发的作物种植结构调整，同时提及地缘冲突和能源危机对需求端的影响。</w:t>
      </w:r>
    </w:p>
    <w:p>
      <w:r>
        <w:rPr>
          <w:rFonts w:ascii="等线(中文正文)" w:hAnsi="等线(中文正文)" w:cs="等线(中文正文)" w:eastAsia="等线(中文正文)"/>
          <w:b w:val="false"/>
          <w:i w:val="false"/>
          <w:sz w:val="20"/>
        </w:rPr>
        <w:t/>
      </w:r>
    </w:p>
    <w:p>
      <w:pPr>
        <w:pStyle w:val="ab"/>
        <w:numPr>
          <w:numId w:val="3"/>
        </w:numPr>
      </w:pPr>
      <w:r>
        <w:t>08:40 高油价与经济放缓：商品市场压力分析</w:t>
      </w:r>
    </w:p>
    <w:p>
      <w:r>
        <w:rPr>
          <w:rFonts w:ascii="等线(中文正文)" w:hAnsi="等线(中文正文)" w:cs="等线(中文正文)" w:eastAsia="等线(中文正文)"/>
          <w:b w:val="false"/>
          <w:i w:val="false"/>
          <w:sz w:val="20"/>
        </w:rPr>
        <w:t>对话讨论了高油价对经济增长的潜在拖累效应，指出当前市场可能过度定价停火预期，而忽视了经济放缓的风险。分析了高油价如何侵蚀需求，改变美联储加息路径，并影响美国基本面，预测煤化工等商品可能面临压力，建议在煤等品种上采取多头策略。</w:t>
      </w:r>
    </w:p>
    <w:p>
      <w:r>
        <w:rPr>
          <w:rFonts w:ascii="等线(中文正文)" w:hAnsi="等线(中文正文)" w:cs="等线(中文正文)" w:eastAsia="等线(中文正文)"/>
          <w:b w:val="false"/>
          <w:i w:val="false"/>
          <w:sz w:val="20"/>
        </w:rPr>
        <w:t/>
      </w:r>
    </w:p>
    <w:p>
      <w:pPr>
        <w:pStyle w:val="ab"/>
        <w:numPr>
          <w:numId w:val="4"/>
        </w:numPr>
      </w:pPr>
      <w:r>
        <w:t>11:08 煤炭市场供需分析与价格预测</w:t>
      </w:r>
    </w:p>
    <w:p>
      <w:r>
        <w:rPr>
          <w:rFonts w:ascii="等线(中文正文)" w:hAnsi="等线(中文正文)" w:cs="等线(中文正文)" w:eastAsia="等线(中文正文)"/>
          <w:b w:val="false"/>
          <w:i w:val="false"/>
          <w:sz w:val="20"/>
        </w:rPr>
        <w:t>对话深入探讨了煤炭市场供需变化，指出国内煤化工替代油化工，海外煤炭替代天然气趋势，以及由此带来的煤需求增量。国内动力煤市场预期偏紧，现货报价上涨，港口库存减少，显示下游需求旺盛。进口市场受海外煤价涨幅更大及印尼煤炭生产配额收紧影响，进口量可能同比大幅下降。尽管电力需求进入淡季，但化工行业对煤炭需求旺盛，支撑市场。内蒙古乌海地区安全生产督查强化供应紧缩预期，焦煤价格有望动态向上。</w:t>
      </w:r>
    </w:p>
    <w:p>
      <w:r>
        <w:rPr>
          <w:rFonts w:ascii="等线(中文正文)" w:hAnsi="等线(中文正文)" w:cs="等线(中文正文)" w:eastAsia="等线(中文正文)"/>
          <w:b w:val="false"/>
          <w:i w:val="false"/>
          <w:sz w:val="20"/>
        </w:rPr>
        <w:t/>
      </w:r>
    </w:p>
    <w:p>
      <w:pPr>
        <w:pStyle w:val="ab"/>
        <w:numPr>
          <w:numId w:val="5"/>
        </w:numPr>
      </w:pPr>
      <w:r>
        <w:t>15:16 多晶硅市场现状与政策预期分析</w:t>
      </w:r>
    </w:p>
    <w:p>
      <w:r>
        <w:rPr>
          <w:rFonts w:ascii="等线(中文正文)" w:hAnsi="等线(中文正文)" w:cs="等线(中文正文)" w:eastAsia="等线(中文正文)"/>
          <w:b w:val="false"/>
          <w:i w:val="false"/>
          <w:sz w:val="20"/>
        </w:rPr>
        <w:t>当前多晶硅市场处于弱现实与强预期之间的震荡状态，现货价格连续下跌，产业链面临负反馈压力，库存高企压制价格。尽管成本压力促使部分企业计划检修，但整体开工率低位，需求端疲软，光伏产品退税取消影响装机启动。市场观望情绪浓厚，政策底和成本底成为支撑预期的关键因素，多晶硅行业高质量发展政策路线推进，能耗国标酝酿中，市场对政策信号敏感度高，猪价上涨可能成为市场关注的高频指标。</w:t>
      </w:r>
    </w:p>
    <w:p>
      <w:r>
        <w:rPr>
          <w:rFonts w:ascii="等线(中文正文)" w:hAnsi="等线(中文正文)" w:cs="等线(中文正文)" w:eastAsia="等线(中文正文)"/>
          <w:b w:val="false"/>
          <w:i w:val="false"/>
          <w:sz w:val="20"/>
        </w:rPr>
        <w:t/>
      </w:r>
    </w:p>
    <w:p>
      <w:pPr>
        <w:pStyle w:val="ab"/>
        <w:numPr>
          <w:numId w:val="6"/>
        </w:numPr>
      </w:pPr>
      <w:r>
        <w:t>18:55 纯碱玻璃价格分化背后的逻辑分析</w:t>
      </w:r>
    </w:p>
    <w:p>
      <w:r>
        <w:rPr>
          <w:rFonts w:ascii="等线(中文正文)" w:hAnsi="等线(中文正文)" w:cs="等线(中文正文)" w:eastAsia="等线(中文正文)"/>
          <w:b w:val="false"/>
          <w:i w:val="false"/>
          <w:sz w:val="20"/>
        </w:rPr>
        <w:t>近期纯碱与玻璃价格走势分化明显，纯碱价格在检修预期和需求负反馈不显著的支撑下相对稳定，而玻璃价格因房地产竣工面积大幅下降及需求疲软持续走低。纯碱需求受光伏行业影响较小，且有碳酸锂等新增需求带动，整体需求降幅预计在1.2%左右；相比之下，玻璃需求降幅可能超过8%，导致其价格跌幅更为显著。</w:t>
      </w:r>
    </w:p>
    <w:p>
      <w:r>
        <w:rPr>
          <w:rFonts w:ascii="等线(中文正文)" w:hAnsi="等线(中文正文)" w:cs="等线(中文正文)" w:eastAsia="等线(中文正文)"/>
          <w:b w:val="false"/>
          <w:i w:val="false"/>
          <w:sz w:val="20"/>
        </w:rPr>
        <w:t/>
      </w:r>
    </w:p>
    <w:p>
      <w:pPr>
        <w:pStyle w:val="ab"/>
        <w:numPr>
          <w:numId w:val="7"/>
        </w:numPr>
      </w:pPr>
      <w:r>
        <w:t>25:23 纯碱与玻璃价差分析及市场展望</w:t>
      </w:r>
    </w:p>
    <w:p>
      <w:r>
        <w:rPr>
          <w:rFonts w:ascii="等线(中文正文)" w:hAnsi="等线(中文正文)" w:cs="等线(中文正文)" w:eastAsia="等线(中文正文)"/>
          <w:b w:val="false"/>
          <w:i w:val="false"/>
          <w:sz w:val="20"/>
        </w:rPr>
        <w:t>对话围绕纯碱和玻璃两个品种的价差变化展开，指出纯碱产量高位叠加库存压力，价格上行驱动不足，预计价格可能阶段性走低；玻璃方面，尽管面临供应下降，但需求疲软，且受政策扰动影响，09合约价格波动值得关注。建议在180以上价差时关注机会，纯碱逢高沽空，玻璃在超跌后可做小反弹。整体市场预期短期低位震荡，政策影响需密切关注。</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即中信建投期货能化研究的胡鹏，对商品市场进行了全面分析。他首先探讨了商品冲突降级后市场的反应，指出即便冲突降级，商品价格仍会受到战争对需求收缩的影响。他还对比了贸易战与地缘热战对商品市场的影响，强调当前市场处于迷茫和缺乏新驱动方向的状态，同时分析了地缘冲突和能源危机对需求端的双重影响。胡鹏还深入讨论了资源民族主义如何影响特定资源价格，以多晶硅和生猪市场为例，同时分析了尿素市场和化肥成本上涨对农业的影响。此外，他还分析了煤炭市场与能源价格的联动性及其对煤化工行业的影响。在玻璃和纯碱市场，他关注了近期市场走势、供需关系，并对未来展望和价差变动进行了讨论。总而言之，胡鹏的发言涵盖了商品市场的总体分析、地缘政治影响、资源政策，以及特定商品市场前景和交易策略等多方面内容。</w:t>
      </w:r>
    </w:p>
    <w:p>
      <w:r>
        <w:rPr>
          <w:rFonts w:ascii="等线(中文正文)" w:hAnsi="等线(中文正文)" w:cs="等线(中文正文)" w:eastAsia="等线(中文正文)"/>
          <w:b w:val="false"/>
          <w:i w:val="false"/>
          <w:sz w:val="20"/>
        </w:rPr>
        <w:t/>
      </w:r>
    </w:p>
    <w:p>
      <w:pPr>
        <w:pStyle w:val="a7"/>
      </w:pPr>
      <w:r>
        <w:t>要点回顾</w:t>
      </w:r>
    </w:p>
    <w:p>
      <w:pPr>
        <w:pStyle w:val="ab"/>
      </w:pPr>
      <w:r>
        <w:t>在地缘事件降级的背景下，对能化商品的定价有何看法？</w:t>
      </w:r>
    </w:p>
    <w:p>
      <w:r>
        <w:rPr>
          <w:rFonts w:ascii="等线(中文正文)" w:hAnsi="等线(中文正文)" w:cs="等线(中文正文)" w:eastAsia="等线(中文正文)"/>
          <w:b w:val="false"/>
          <w:i w:val="false"/>
          <w:sz w:val="20"/>
        </w:rPr>
        <w:t>发言人1：在地缘事件降级的趋势下，我们认为能化商品难以重现之前的高点定价。尽管地缘事件会带来需求收缩，但此次伊朗事件对商品需求的影响可能在一定程度上已被市场提前消化。即使事件真正降级，有色等商品可能会面临阶段性的上方压力。</w:t>
      </w:r>
    </w:p>
    <w:p>
      <w:r>
        <w:rPr>
          <w:rFonts w:ascii="等线(中文正文)" w:hAnsi="等线(中文正文)" w:cs="等线(中文正文)" w:eastAsia="等线(中文正文)"/>
          <w:b w:val="false"/>
          <w:i w:val="false"/>
          <w:sz w:val="20"/>
        </w:rPr>
        <w:t/>
      </w:r>
    </w:p>
    <w:p>
      <w:pPr>
        <w:pStyle w:val="ab"/>
      </w:pPr>
      <w:r>
        <w:t>当前市场为何难以形成新的驱动方向并创出新高？</w:t>
      </w:r>
    </w:p>
    <w:p>
      <w:r>
        <w:rPr>
          <w:rFonts w:ascii="等线(中文正文)" w:hAnsi="等线(中文正文)" w:cs="等线(中文正文)" w:eastAsia="等线(中文正文)"/>
          <w:b w:val="false"/>
          <w:i w:val="false"/>
          <w:sz w:val="20"/>
        </w:rPr>
        <w:t>发言人1：市场目前处于迷茫和纠结格局中，权益和金属在修复跌幅后缺乏新的上涨动力。新的叙事难以形成一致的市场预期，尤其是在没有进一步超预期的供给侧事件收缩的情况下，金属难以立即突破前高。同时，在交易美元化、黄金和美债估值等方面存在逻辑冲突，避险情绪的回落也可能对黄金产生负面影响。此外，金融趋势不明确、波动频繁导致赚钱效应糟糕，因此需要重新拟定讨论行情的时间节点。</w:t>
      </w:r>
    </w:p>
    <w:p>
      <w:r>
        <w:rPr>
          <w:rFonts w:ascii="等线(中文正文)" w:hAnsi="等线(中文正文)" w:cs="等线(中文正文)" w:eastAsia="等线(中文正文)"/>
          <w:b w:val="false"/>
          <w:i w:val="false"/>
          <w:sz w:val="20"/>
        </w:rPr>
        <w:t/>
      </w:r>
    </w:p>
    <w:p>
      <w:pPr>
        <w:pStyle w:val="ab"/>
      </w:pPr>
      <w:r>
        <w:t>在资源民族主义背景下有哪些值得关注的方向？</w:t>
      </w:r>
    </w:p>
    <w:p>
      <w:r>
        <w:rPr>
          <w:rFonts w:ascii="等线(中文正文)" w:hAnsi="等线(中文正文)" w:cs="等线(中文正文)" w:eastAsia="等线(中文正文)"/>
          <w:b w:val="false"/>
          <w:i w:val="false"/>
          <w:sz w:val="20"/>
        </w:rPr>
        <w:t>发言人1：值得探讨的方向包括资源民族主义及其对资源价格的影响。例如，印尼政府对煤矿技术价格公示调整，以及对部分金属纳入计价体系并提高CF系数，这可能导致利润空间压缩并增加政府收入。此外，硫磺价格飙升提高了生产成本，可能导致海外铜矿减产预期增强。我国也阶段性停止硫酸出口，非洲地区湿法冶产能严重依赖进口，这些因素可能进一步导致全球供应链脆弱，并形成资源减产趋势。</w:t>
      </w:r>
    </w:p>
    <w:p>
      <w:r>
        <w:rPr>
          <w:rFonts w:ascii="等线(中文正文)" w:hAnsi="等线(中文正文)" w:cs="等线(中文正文)" w:eastAsia="等线(中文正文)"/>
          <w:b w:val="false"/>
          <w:i w:val="false"/>
          <w:sz w:val="20"/>
        </w:rPr>
        <w:t/>
      </w:r>
    </w:p>
    <w:p>
      <w:pPr>
        <w:pStyle w:val="ab"/>
      </w:pPr>
      <w:r>
        <w:t>化肥市场的现状及影响是什么？</w:t>
      </w:r>
    </w:p>
    <w:p>
      <w:r>
        <w:rPr>
          <w:rFonts w:ascii="等线(中文正文)" w:hAnsi="等线(中文正文)" w:cs="等线(中文正文)" w:eastAsia="等线(中文正文)"/>
          <w:b w:val="false"/>
          <w:i w:val="false"/>
          <w:sz w:val="20"/>
        </w:rPr>
        <w:t>发言人1：国内尿素生产开工率较高，价格相对平稳，但依赖液化天然气进口的国家如印度、巴基斯坦面临减产压力，导致海外价格大幅上涨。国内尿素出口窗口打开的可能性以及农产品生产市场中化肥成本上升对农户财务状况和种植意向的影响是值得关注的。不过，更关键的变量还是厄尔尼诺现象和美国降水情况对农产品需求的影响。</w:t>
      </w:r>
    </w:p>
    <w:p>
      <w:r>
        <w:rPr>
          <w:rFonts w:ascii="等线(中文正文)" w:hAnsi="等线(中文正文)" w:cs="等线(中文正文)" w:eastAsia="等线(中文正文)"/>
          <w:b w:val="false"/>
          <w:i w:val="false"/>
          <w:sz w:val="20"/>
        </w:rPr>
        <w:t/>
      </w:r>
    </w:p>
    <w:p>
      <w:pPr>
        <w:pStyle w:val="ab"/>
      </w:pPr>
      <w:r>
        <w:t>地缘冲突和能源危机对经济增长的拖累效应是否已被充分定价？</w:t>
      </w:r>
    </w:p>
    <w:p>
      <w:r>
        <w:rPr>
          <w:rFonts w:ascii="等线(中文正文)" w:hAnsi="等线(中文正文)" w:cs="等线(中文正文)" w:eastAsia="等线(中文正文)"/>
          <w:b w:val="false"/>
          <w:i w:val="false"/>
          <w:sz w:val="20"/>
        </w:rPr>
        <w:t>发言人1：目前地缘问题和能源问题带来的成本上升、贸易路线延长和不确定性增加对经济增长的拖累效应可能还未被充分定价。对比之前的贸易战和2020年的疫情事件，当前情况可能更类似于后者，即对经济增长的影响尚未完全体现。</w:t>
      </w:r>
    </w:p>
    <w:p>
      <w:r>
        <w:rPr>
          <w:rFonts w:ascii="等线(中文正文)" w:hAnsi="等线(中文正文)" w:cs="等线(中文正文)" w:eastAsia="等线(中文正文)"/>
          <w:b w:val="false"/>
          <w:i w:val="false"/>
          <w:sz w:val="20"/>
        </w:rPr>
        <w:t/>
      </w:r>
    </w:p>
    <w:p>
      <w:pPr>
        <w:pStyle w:val="ab"/>
      </w:pPr>
      <w:r>
        <w:t>美国经济数据表现如何？</w:t>
      </w:r>
    </w:p>
    <w:p>
      <w:r>
        <w:rPr>
          <w:rFonts w:ascii="等线(中文正文)" w:hAnsi="等线(中文正文)" w:cs="等线(中文正文)" w:eastAsia="等线(中文正文)"/>
          <w:b w:val="false"/>
          <w:i w:val="false"/>
          <w:sz w:val="20"/>
        </w:rPr>
        <w:t>发言人1：美国经济数据显示显著分化，制造业PMI尚未走弱，而服务业PMI明显下滑。高油价通常会通过两个路径侵蚀需求：一是抑制中低收入家庭的基础消费；二是影响各行业对需求的关注度，高油价会促使各个行业反馈需求情况。</w:t>
      </w:r>
    </w:p>
    <w:p>
      <w:r>
        <w:rPr>
          <w:rFonts w:ascii="等线(中文正文)" w:hAnsi="等线(中文正文)" w:cs="等线(中文正文)" w:eastAsia="等线(中文正文)"/>
          <w:b w:val="false"/>
          <w:i w:val="false"/>
          <w:sz w:val="20"/>
        </w:rPr>
        <w:t/>
      </w:r>
    </w:p>
    <w:p>
      <w:pPr>
        <w:pStyle w:val="ab"/>
      </w:pPr>
      <w:r>
        <w:t>高油价如何影响了美联储的加息路径以及市场对于经济预期的定价？</w:t>
      </w:r>
    </w:p>
    <w:p>
      <w:r>
        <w:rPr>
          <w:rFonts w:ascii="等线(中文正文)" w:hAnsi="等线(中文正文)" w:cs="等线(中文正文)" w:eastAsia="等线(中文正文)"/>
          <w:b w:val="false"/>
          <w:i w:val="false"/>
          <w:sz w:val="20"/>
        </w:rPr>
        <w:t>发言人1：高油价导致美联储加息路径改变，一年期远期利率显著攀升至2025年7月份以来高位。市场可能过度定价停火预期，忽视了潜在的经济放缓压力。若需求风险开始定价，高位的商品如煤化工可能会面临压力。</w:t>
      </w:r>
    </w:p>
    <w:p>
      <w:r>
        <w:rPr>
          <w:rFonts w:ascii="等线(中文正文)" w:hAnsi="等线(中文正文)" w:cs="等线(中文正文)" w:eastAsia="等线(中文正文)"/>
          <w:b w:val="false"/>
          <w:i w:val="false"/>
          <w:sz w:val="20"/>
        </w:rPr>
        <w:t/>
      </w:r>
    </w:p>
    <w:p>
      <w:pPr>
        <w:pStyle w:val="ab"/>
      </w:pPr>
      <w:r>
        <w:t>在煤炭市场方面，有哪些关键观点和关注点？</w:t>
      </w:r>
    </w:p>
    <w:p>
      <w:r>
        <w:rPr>
          <w:rFonts w:ascii="等线(中文正文)" w:hAnsi="等线(中文正文)" w:cs="等线(中文正文)" w:eastAsia="等线(中文正文)"/>
          <w:b w:val="false"/>
          <w:i w:val="false"/>
          <w:sz w:val="20"/>
        </w:rPr>
        <w:t>发言人1：关键观点是存在国内煤化工替代油化工和海外用煤替代天然气的需求增量。关注油价上行带来的驱动逐步展开，尤其是国内动力煤市场未来预期偏紧而现实宽松的局面，以及进口煤因海外价格更高、印尼煤炭生产配额审批收紧等因素可能导致同比10%以上的回落。同时，电力淡季需求下降，但化工行业旺盛需求支撑市场，且焦煤供应紧缩预期强化，存在动态向上的过程。</w:t>
      </w:r>
    </w:p>
    <w:p>
      <w:r>
        <w:rPr>
          <w:rFonts w:ascii="等线(中文正文)" w:hAnsi="等线(中文正文)" w:cs="等线(中文正文)" w:eastAsia="等线(中文正文)"/>
          <w:b w:val="false"/>
          <w:i w:val="false"/>
          <w:sz w:val="20"/>
        </w:rPr>
        <w:t/>
      </w:r>
    </w:p>
    <w:p>
      <w:pPr>
        <w:pStyle w:val="ab"/>
      </w:pPr>
      <w:r>
        <w:t>多晶硅市场现状如何，面临的主要矛盾是什么？</w:t>
      </w:r>
    </w:p>
    <w:p>
      <w:r>
        <w:rPr>
          <w:rFonts w:ascii="等线(中文正文)" w:hAnsi="等线(中文正文)" w:cs="等线(中文正文)" w:eastAsia="等线(中文正文)"/>
          <w:b w:val="false"/>
          <w:i w:val="false"/>
          <w:sz w:val="20"/>
        </w:rPr>
        <w:t>发言人1：多晶硅市场处于弱现实与强预期之间震荡，现货价格连续下跌，库存不断累积，下游采购清淡，高库存对价格形成持续压制。产业整体开工率低位，成本压力大的工厂计划检修以缓解压力，但减产效果有限。产业链中下游亏损严重，市场观望心态浓厚，但价格已跌破多数企业现金成本线，市场化出清风险加剧，同时也受到政策底和成本底的支撑。</w:t>
      </w:r>
    </w:p>
    <w:p>
      <w:r>
        <w:rPr>
          <w:rFonts w:ascii="等线(中文正文)" w:hAnsi="等线(中文正文)" w:cs="等线(中文正文)" w:eastAsia="等线(中文正文)"/>
          <w:b w:val="false"/>
          <w:i w:val="false"/>
          <w:sz w:val="20"/>
        </w:rPr>
        <w:t/>
      </w:r>
    </w:p>
    <w:p>
      <w:pPr>
        <w:pStyle w:val="ab"/>
      </w:pPr>
      <w:r>
        <w:t>对于冻品行业，目前市场是否处于周期底部，以及猪价走势对其有何影响？</w:t>
      </w:r>
    </w:p>
    <w:p>
      <w:r>
        <w:rPr>
          <w:rFonts w:ascii="等线(中文正文)" w:hAnsi="等线(中文正文)" w:cs="等线(中文正文)" w:eastAsia="等线(中文正文)"/>
          <w:b w:val="false"/>
          <w:i w:val="false"/>
          <w:sz w:val="20"/>
        </w:rPr>
        <w:t>发言人1：目前冻品入库率上升，询价成交意愿增强，但是否能形成彻底意义上的周期底部还需观察。尤其是关注猪价反弹是否能带动整个产业链复苏。若死猪价格显著上涨，则市场将确认进入一个新的周期。</w:t>
      </w:r>
    </w:p>
    <w:p>
      <w:r>
        <w:rPr>
          <w:rFonts w:ascii="等线(中文正文)" w:hAnsi="等线(中文正文)" w:cs="等线(中文正文)" w:eastAsia="等线(中文正文)"/>
          <w:b w:val="false"/>
          <w:i w:val="false"/>
          <w:sz w:val="20"/>
        </w:rPr>
        <w:t/>
      </w:r>
    </w:p>
    <w:p>
      <w:pPr>
        <w:pStyle w:val="ab"/>
      </w:pPr>
      <w:r>
        <w:t>纯碱和玻璃这周价格走势出现分化的原因是什么？近期纯碱和玻璃价格分化的核心逻辑是什么？</w:t>
      </w:r>
    </w:p>
    <w:p>
      <w:r>
        <w:rPr>
          <w:rFonts w:ascii="等线(中文正文)" w:hAnsi="等线(中文正文)" w:cs="等线(中文正文)" w:eastAsia="等线(中文正文)"/>
          <w:b w:val="false"/>
          <w:i w:val="false"/>
          <w:sz w:val="20"/>
        </w:rPr>
        <w:t>发言人1：这周纯碱价格在震荡中有所上涨，而玻璃价格则持续下跌，两者价差扩大。这种短期走势分化主要是由于需求端的影响，纯碱玻璃的价差收缩主要受下游需求疲软拖累，尤其是房地产对玻璃需求的减少。核心逻辑在于房地产竣工面积下降导致玻璃需求减弱，进而影响到纯碱需求，而纯碱供应方面存在检修预期及累库情况，玻璃则面临负反馈的压力，因此玻璃价格跌幅更大。</w:t>
      </w:r>
    </w:p>
    <w:p>
      <w:r>
        <w:rPr>
          <w:rFonts w:ascii="等线(中文正文)" w:hAnsi="等线(中文正文)" w:cs="等线(中文正文)" w:eastAsia="等线(中文正文)"/>
          <w:b w:val="false"/>
          <w:i w:val="false"/>
          <w:sz w:val="20"/>
        </w:rPr>
        <w:t/>
      </w:r>
    </w:p>
    <w:p>
      <w:pPr>
        <w:pStyle w:val="ab"/>
      </w:pPr>
      <w:r>
        <w:t>对于纯碱和玻璃的未来价格走势有何判断？</w:t>
      </w:r>
    </w:p>
    <w:p>
      <w:r>
        <w:rPr>
          <w:rFonts w:ascii="等线(中文正文)" w:hAnsi="等线(中文正文)" w:cs="等线(中文正文)" w:eastAsia="等线(中文正文)"/>
          <w:b w:val="false"/>
          <w:i w:val="false"/>
          <w:sz w:val="20"/>
        </w:rPr>
        <w:t>发言人1：纯碱价格缺乏上涨驱动，可能因供应上升面临较大的库存压力，价格可能出现阶段性的下跌。而玻璃虽受制于价差结构影响，但因供应扰动及需求未明显改善，仍有可能低位震荡。若出现政策扰动，需关注对某一端的影响程度。对于09合约价差，若回到180以上，可考虑介入；对于纯碱单边操作，可逢高沽空，而玻璃则可在超跌时做小幅度反弹操作。</w:t>
      </w:r>
    </w:p>
    <w:p>
      <w:r>
        <w:rPr>
          <w:rFonts w:ascii="等线(中文正文)" w:hAnsi="等线(中文正文)" w:cs="等线(中文正文)" w:eastAsia="等线(中文正文)"/>
          <w:b w:val="false"/>
          <w:i w:val="false"/>
          <w:sz w:val="20"/>
        </w:rPr>
        <w:t/>
      </w:r>
    </w:p>
    <w:p>
      <w:pPr>
        <w:pStyle w:val="ab"/>
      </w:pPr>
      <w:r>
        <w:t>玻璃需求中房地产的占比是多少？纯碱的需求结构是怎样的？</w:t>
      </w:r>
    </w:p>
    <w:p>
      <w:r>
        <w:rPr>
          <w:rFonts w:ascii="等线(中文正文)" w:hAnsi="等线(中文正文)" w:cs="等线(中文正文)" w:eastAsia="等线(中文正文)"/>
          <w:b w:val="false"/>
          <w:i w:val="false"/>
          <w:sz w:val="20"/>
        </w:rPr>
        <w:t>发言人1：玻璃90%的需求用于房地产行业，其中还有部分出口到海外深加工玻璃，以及原片和汽车玻璃需求占比约10%。纯碱需求相对分散，重点需求包括浮法玻璃和光伏玻璃，分别占纯碱总需求的36%至7%和16%至17%。此外，还有玻璃瓶罐、碳酸锂、小苏打和钠等其他需求。</w:t>
      </w:r>
    </w:p>
    <w:p>
      <w:r>
        <w:rPr>
          <w:rFonts w:ascii="等线(中文正文)" w:hAnsi="等线(中文正文)" w:cs="等线(中文正文)" w:eastAsia="等线(中文正文)"/>
          <w:b w:val="false"/>
          <w:i w:val="false"/>
          <w:sz w:val="20"/>
        </w:rPr>
        <w:t/>
      </w:r>
    </w:p>
    <w:p>
      <w:pPr>
        <w:pStyle w:val="ab"/>
      </w:pPr>
      <w:r>
        <w:t>碳酸锂对纯碱需求有何影响？</w:t>
      </w:r>
    </w:p>
    <w:p>
      <w:r>
        <w:rPr>
          <w:rFonts w:ascii="等线(中文正文)" w:hAnsi="等线(中文正文)" w:cs="等线(中文正文)" w:eastAsia="等线(中文正文)"/>
          <w:b w:val="false"/>
          <w:i w:val="false"/>
          <w:sz w:val="20"/>
        </w:rPr>
        <w:t>发言人1：碳酸锂产量增加20万吨，会带动纯碱需求增加40万吨，对纯碱需求有一定小幅度的提振作用。</w:t>
      </w:r>
    </w:p>
    <w:p>
      <w:r>
        <w:rPr>
          <w:rFonts w:ascii="等线(中文正文)" w:hAnsi="等线(中文正文)" w:cs="等线(中文正文)" w:eastAsia="等线(中文正文)"/>
          <w:b w:val="false"/>
          <w:i w:val="false"/>
          <w:sz w:val="20"/>
        </w:rPr>
        <w:t/>
      </w:r>
    </w:p>
    <w:p>
      <w:pPr>
        <w:pStyle w:val="ab"/>
      </w:pPr>
      <w:r>
        <w:t>纯碱和玻璃的产量和库存情况如何？</w:t>
      </w:r>
    </w:p>
    <w:p>
      <w:r>
        <w:rPr>
          <w:rFonts w:ascii="等线(中文正文)" w:hAnsi="等线(中文正文)" w:cs="等线(中文正文)" w:eastAsia="等线(中文正文)"/>
          <w:b w:val="false"/>
          <w:i w:val="false"/>
          <w:sz w:val="20"/>
        </w:rPr>
        <w:t>发言人1：纯碱周度产量在78万吨左右，年内最高达到82万吨；玻璃在产产能为11.5万吨至14.5万吨，同比去年下降约8%。随着检修期过后，纯碱产量有望回升，而玻璃供应可能继续减少，库存压力较大。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2026-04-19T14:43:38Z</dcterms:created>
  <dc:creator>Apache POI</dc:creator>
</cp:coreProperties>
</file>